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924315" w:displacedByCustomXml="next"/>
    <w:bookmarkStart w:id="1" w:name="_Hlk36461553" w:displacedByCustomXml="next"/>
    <w:bookmarkStart w:id="2" w:name="_Hlk102053648" w:displacedByCustomXml="next"/>
    <w:sdt>
      <w:sdtPr>
        <w:alias w:val="Title"/>
        <w:tag w:val=""/>
        <w:id w:val="-702250857"/>
        <w:placeholder>
          <w:docPart w:val="CC9562F5B2D545A9A9349728C0BA165F"/>
        </w:placeholder>
        <w:dataBinding w:prefixMappings="xmlns:ns0='http://purl.org/dc/elements/1.1/' xmlns:ns1='http://schemas.openxmlformats.org/package/2006/metadata/core-properties' " w:xpath="/ns1:coreProperties[1]/ns0:title[1]" w:storeItemID="{6C3C8BC8-F283-45AE-878A-BAB7291924A1}"/>
        <w:text/>
      </w:sdtPr>
      <w:sdtEndPr/>
      <w:sdtContent>
        <w:p w14:paraId="3E474841" w14:textId="486EA44E" w:rsidR="005D073E" w:rsidRPr="005D073E" w:rsidRDefault="000B65B4" w:rsidP="005D073E">
          <w:pPr>
            <w:pStyle w:val="Title"/>
          </w:pPr>
          <w:r>
            <w:t xml:space="preserve">Monthly </w:t>
          </w:r>
          <w:r w:rsidR="00A472F1">
            <w:t xml:space="preserve">Market </w:t>
          </w:r>
          <w:r>
            <w:t>Update</w:t>
          </w:r>
        </w:p>
      </w:sdtContent>
    </w:sdt>
    <w:p w14:paraId="17D93B6C" w14:textId="00811AA4" w:rsidR="00A472F1" w:rsidRPr="00A472F1" w:rsidRDefault="008F34B0" w:rsidP="00587045">
      <w:pPr>
        <w:pStyle w:val="Subtitle"/>
      </w:pPr>
      <w:r>
        <w:t>June</w:t>
      </w:r>
      <w:r w:rsidR="00A472F1">
        <w:t xml:space="preserve"> 202</w:t>
      </w:r>
      <w:r w:rsidR="003327B3">
        <w:t>2</w:t>
      </w:r>
    </w:p>
    <w:p w14:paraId="33FA3A36" w14:textId="77777777" w:rsidR="00A472F1" w:rsidRPr="00C3477C" w:rsidRDefault="00A472F1" w:rsidP="00A472F1">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C3477C" w14:paraId="72E6E782" w14:textId="77777777" w:rsidTr="00C3477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0AF7AB06" w14:textId="77777777" w:rsidR="00C3477C" w:rsidRPr="0051113D" w:rsidRDefault="00C3477C" w:rsidP="00C3477C">
            <w:pPr>
              <w:pStyle w:val="TableParagraph"/>
              <w:spacing w:before="3"/>
              <w:ind w:right="0"/>
              <w:jc w:val="left"/>
              <w:rPr>
                <w:b/>
                <w:bCs/>
                <w:sz w:val="26"/>
              </w:rPr>
            </w:pPr>
          </w:p>
          <w:p w14:paraId="5A68CF0F" w14:textId="77777777" w:rsidR="00C3477C" w:rsidRPr="0051113D" w:rsidRDefault="00C3477C" w:rsidP="00C3477C">
            <w:pPr>
              <w:pStyle w:val="TableParagraph"/>
              <w:spacing w:before="0"/>
              <w:ind w:left="79" w:right="0"/>
              <w:jc w:val="left"/>
              <w:rPr>
                <w:b/>
                <w:bCs/>
                <w:sz w:val="18"/>
              </w:rPr>
            </w:pPr>
            <w:r w:rsidRPr="0051113D">
              <w:rPr>
                <w:b/>
                <w:bCs/>
                <w:color w:val="FFFFFF"/>
                <w:sz w:val="18"/>
              </w:rPr>
              <w:t>Asset Class</w:t>
            </w:r>
          </w:p>
        </w:tc>
        <w:tc>
          <w:tcPr>
            <w:tcW w:w="851" w:type="dxa"/>
            <w:hideMark/>
          </w:tcPr>
          <w:p w14:paraId="01DC500A" w14:textId="77777777" w:rsidR="00C3477C" w:rsidRPr="0051113D" w:rsidRDefault="00C3477C" w:rsidP="00C3477C">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proofErr w:type="spellStart"/>
            <w:r w:rsidRPr="0051113D">
              <w:rPr>
                <w:b/>
                <w:bCs/>
                <w:color w:val="FFFFFF"/>
                <w:sz w:val="18"/>
              </w:rPr>
              <w:t>Yr</w:t>
            </w:r>
            <w:proofErr w:type="spellEnd"/>
          </w:p>
          <w:p w14:paraId="7BF73E16" w14:textId="77777777" w:rsidR="00C3477C" w:rsidRPr="0051113D" w:rsidRDefault="00C3477C" w:rsidP="00C3477C">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5715C383" w14:textId="77777777" w:rsidR="00C3477C" w:rsidRPr="0051113D" w:rsidRDefault="00C3477C" w:rsidP="00C3477C">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proofErr w:type="spellStart"/>
            <w:r w:rsidRPr="0051113D">
              <w:rPr>
                <w:b/>
                <w:bCs/>
                <w:color w:val="FFFFFF"/>
                <w:sz w:val="18"/>
              </w:rPr>
              <w:t>Yr</w:t>
            </w:r>
            <w:proofErr w:type="spellEnd"/>
          </w:p>
          <w:p w14:paraId="78FA4A2F"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4FCE5DC" w14:textId="77777777" w:rsidR="00C3477C" w:rsidRPr="0051113D" w:rsidRDefault="00C3477C" w:rsidP="00C3477C">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proofErr w:type="spellStart"/>
            <w:r w:rsidRPr="0051113D">
              <w:rPr>
                <w:b/>
                <w:bCs/>
                <w:color w:val="FFFFFF"/>
                <w:sz w:val="18"/>
              </w:rPr>
              <w:t>Yr</w:t>
            </w:r>
            <w:proofErr w:type="spellEnd"/>
          </w:p>
          <w:p w14:paraId="650AFB44"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71565171" w14:textId="77777777" w:rsidR="00C3477C" w:rsidRPr="0051113D" w:rsidRDefault="00C3477C" w:rsidP="00C3477C">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proofErr w:type="spellStart"/>
            <w:r w:rsidRPr="0051113D">
              <w:rPr>
                <w:b/>
                <w:bCs/>
                <w:color w:val="FFFFFF"/>
                <w:sz w:val="18"/>
              </w:rPr>
              <w:t>Yr</w:t>
            </w:r>
            <w:proofErr w:type="spellEnd"/>
          </w:p>
          <w:p w14:paraId="177F51EA"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A764D36" w14:textId="77777777" w:rsidR="00C3477C" w:rsidRPr="0051113D" w:rsidRDefault="00C3477C" w:rsidP="00C3477C">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777CC3DD" w14:textId="77777777" w:rsidR="00C3477C" w:rsidRPr="0051113D" w:rsidRDefault="00C3477C" w:rsidP="00C3477C">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872FEC8"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6 </w:t>
            </w:r>
            <w:proofErr w:type="spellStart"/>
            <w:r w:rsidRPr="0051113D">
              <w:rPr>
                <w:b/>
                <w:bCs/>
                <w:color w:val="FFFFFF"/>
                <w:sz w:val="18"/>
              </w:rPr>
              <w:t>Mth</w:t>
            </w:r>
            <w:proofErr w:type="spellEnd"/>
          </w:p>
          <w:p w14:paraId="3EA4FE1F"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5AB5BF54"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3 </w:t>
            </w:r>
            <w:proofErr w:type="spellStart"/>
            <w:r w:rsidRPr="0051113D">
              <w:rPr>
                <w:b/>
                <w:bCs/>
                <w:color w:val="FFFFFF"/>
                <w:sz w:val="18"/>
              </w:rPr>
              <w:t>Mth</w:t>
            </w:r>
            <w:proofErr w:type="spellEnd"/>
          </w:p>
          <w:p w14:paraId="0979F214"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2648A6B5" w14:textId="77777777" w:rsidR="00C3477C" w:rsidRPr="0051113D" w:rsidRDefault="00C3477C" w:rsidP="00C3477C">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 xml:space="preserve">1 </w:t>
            </w:r>
            <w:proofErr w:type="spellStart"/>
            <w:r w:rsidRPr="0051113D">
              <w:rPr>
                <w:b/>
                <w:bCs/>
                <w:color w:val="FFFFFF"/>
                <w:sz w:val="18"/>
              </w:rPr>
              <w:t>Mth</w:t>
            </w:r>
            <w:proofErr w:type="spellEnd"/>
          </w:p>
          <w:p w14:paraId="4C30457F" w14:textId="77777777" w:rsidR="00C3477C" w:rsidRPr="0051113D" w:rsidRDefault="00C3477C" w:rsidP="00C3477C">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9A4BEF" w14:paraId="5B1FD51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F4C6648" w14:textId="77777777" w:rsidR="009A4BEF" w:rsidRDefault="009A4BEF" w:rsidP="009A4BEF">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50FC9BF7" w14:textId="200EC8F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1.73</w:t>
            </w:r>
          </w:p>
        </w:tc>
        <w:tc>
          <w:tcPr>
            <w:tcW w:w="851" w:type="dxa"/>
            <w:vAlign w:val="bottom"/>
            <w:hideMark/>
          </w:tcPr>
          <w:p w14:paraId="05F83B56" w14:textId="57E59BD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0.95</w:t>
            </w:r>
          </w:p>
        </w:tc>
        <w:tc>
          <w:tcPr>
            <w:tcW w:w="851" w:type="dxa"/>
            <w:vAlign w:val="bottom"/>
            <w:hideMark/>
          </w:tcPr>
          <w:p w14:paraId="1F08F53C" w14:textId="52EF2213"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0.33</w:t>
            </w:r>
          </w:p>
        </w:tc>
        <w:tc>
          <w:tcPr>
            <w:tcW w:w="851" w:type="dxa"/>
            <w:vAlign w:val="bottom"/>
            <w:hideMark/>
          </w:tcPr>
          <w:p w14:paraId="35B4D1F8" w14:textId="4BCE6A93"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0.10</w:t>
            </w:r>
          </w:p>
        </w:tc>
        <w:tc>
          <w:tcPr>
            <w:tcW w:w="851" w:type="dxa"/>
            <w:vAlign w:val="bottom"/>
            <w:hideMark/>
          </w:tcPr>
          <w:p w14:paraId="74E7E265" w14:textId="24B1853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0.08</w:t>
            </w:r>
          </w:p>
        </w:tc>
        <w:tc>
          <w:tcPr>
            <w:tcW w:w="851" w:type="dxa"/>
            <w:vAlign w:val="bottom"/>
            <w:hideMark/>
          </w:tcPr>
          <w:p w14:paraId="7EE52B95" w14:textId="404A71B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0.08</w:t>
            </w:r>
          </w:p>
        </w:tc>
        <w:tc>
          <w:tcPr>
            <w:tcW w:w="851" w:type="dxa"/>
            <w:vAlign w:val="bottom"/>
            <w:hideMark/>
          </w:tcPr>
          <w:p w14:paraId="38C5ECBD" w14:textId="2AA0974D"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0.07</w:t>
            </w:r>
          </w:p>
        </w:tc>
        <w:tc>
          <w:tcPr>
            <w:tcW w:w="851" w:type="dxa"/>
            <w:vAlign w:val="bottom"/>
            <w:hideMark/>
          </w:tcPr>
          <w:p w14:paraId="1C17E102" w14:textId="3F2C7E31"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0.05</w:t>
            </w:r>
          </w:p>
        </w:tc>
      </w:tr>
      <w:tr w:rsidR="009A4BEF" w14:paraId="2762942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F3F3C4E" w14:textId="77777777" w:rsidR="009A4BEF" w:rsidRDefault="009A4BEF" w:rsidP="009A4BEF">
            <w:pPr>
              <w:pStyle w:val="TableParagraph"/>
              <w:ind w:left="79" w:right="0"/>
              <w:jc w:val="left"/>
              <w:rPr>
                <w:sz w:val="10"/>
              </w:rPr>
            </w:pPr>
            <w:r>
              <w:rPr>
                <w:sz w:val="18"/>
              </w:rPr>
              <w:t>Australian Bonds</w:t>
            </w:r>
            <w:r>
              <w:rPr>
                <w:position w:val="6"/>
                <w:sz w:val="10"/>
              </w:rPr>
              <w:t>2</w:t>
            </w:r>
          </w:p>
        </w:tc>
        <w:tc>
          <w:tcPr>
            <w:tcW w:w="851" w:type="dxa"/>
            <w:vAlign w:val="bottom"/>
            <w:hideMark/>
          </w:tcPr>
          <w:p w14:paraId="67F971D2" w14:textId="6382B999"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2.58</w:t>
            </w:r>
          </w:p>
        </w:tc>
        <w:tc>
          <w:tcPr>
            <w:tcW w:w="851" w:type="dxa"/>
            <w:vAlign w:val="bottom"/>
            <w:hideMark/>
          </w:tcPr>
          <w:p w14:paraId="67907E4C" w14:textId="721DCA0F"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0.87</w:t>
            </w:r>
          </w:p>
        </w:tc>
        <w:tc>
          <w:tcPr>
            <w:tcW w:w="851" w:type="dxa"/>
            <w:vAlign w:val="bottom"/>
            <w:hideMark/>
          </w:tcPr>
          <w:p w14:paraId="2D4A10DD" w14:textId="7E676E3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-2.58</w:t>
            </w:r>
          </w:p>
        </w:tc>
        <w:tc>
          <w:tcPr>
            <w:tcW w:w="851" w:type="dxa"/>
            <w:vAlign w:val="bottom"/>
            <w:hideMark/>
          </w:tcPr>
          <w:p w14:paraId="0D75AD4E" w14:textId="6D7DFEC4"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-10.51</w:t>
            </w:r>
          </w:p>
        </w:tc>
        <w:tc>
          <w:tcPr>
            <w:tcW w:w="851" w:type="dxa"/>
            <w:vAlign w:val="bottom"/>
            <w:hideMark/>
          </w:tcPr>
          <w:p w14:paraId="76863398" w14:textId="3E44A430"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-9.46</w:t>
            </w:r>
          </w:p>
        </w:tc>
        <w:tc>
          <w:tcPr>
            <w:tcW w:w="851" w:type="dxa"/>
            <w:vAlign w:val="bottom"/>
            <w:hideMark/>
          </w:tcPr>
          <w:p w14:paraId="15763925" w14:textId="5567F614"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-9.46</w:t>
            </w:r>
          </w:p>
        </w:tc>
        <w:tc>
          <w:tcPr>
            <w:tcW w:w="851" w:type="dxa"/>
            <w:vAlign w:val="bottom"/>
            <w:hideMark/>
          </w:tcPr>
          <w:p w14:paraId="737AFBB5" w14:textId="26A8118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-3.81</w:t>
            </w:r>
          </w:p>
        </w:tc>
        <w:tc>
          <w:tcPr>
            <w:tcW w:w="851" w:type="dxa"/>
            <w:vAlign w:val="bottom"/>
            <w:hideMark/>
          </w:tcPr>
          <w:p w14:paraId="50174298" w14:textId="22EEB42A"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-1.48</w:t>
            </w:r>
          </w:p>
        </w:tc>
      </w:tr>
      <w:tr w:rsidR="009A4BEF" w14:paraId="1FB707BD"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BDAEC06" w14:textId="77777777" w:rsidR="009A4BEF" w:rsidRDefault="009A4BEF" w:rsidP="009A4BEF">
            <w:pPr>
              <w:pStyle w:val="TableParagraph"/>
              <w:ind w:left="79" w:right="0"/>
              <w:jc w:val="left"/>
              <w:rPr>
                <w:sz w:val="10"/>
              </w:rPr>
            </w:pPr>
            <w:r>
              <w:rPr>
                <w:sz w:val="18"/>
              </w:rPr>
              <w:t>International Bonds</w:t>
            </w:r>
            <w:r>
              <w:rPr>
                <w:position w:val="6"/>
                <w:sz w:val="10"/>
              </w:rPr>
              <w:t>3</w:t>
            </w:r>
          </w:p>
        </w:tc>
        <w:tc>
          <w:tcPr>
            <w:tcW w:w="851" w:type="dxa"/>
            <w:vAlign w:val="bottom"/>
            <w:hideMark/>
          </w:tcPr>
          <w:p w14:paraId="689D50B5" w14:textId="371577D7"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3.12</w:t>
            </w:r>
          </w:p>
        </w:tc>
        <w:tc>
          <w:tcPr>
            <w:tcW w:w="851" w:type="dxa"/>
            <w:vAlign w:val="bottom"/>
            <w:hideMark/>
          </w:tcPr>
          <w:p w14:paraId="762E283C" w14:textId="0C1C597A"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0.78</w:t>
            </w:r>
          </w:p>
        </w:tc>
        <w:tc>
          <w:tcPr>
            <w:tcW w:w="851" w:type="dxa"/>
            <w:vAlign w:val="bottom"/>
            <w:hideMark/>
          </w:tcPr>
          <w:p w14:paraId="63CA88FF" w14:textId="68C1AFF5"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-1.63</w:t>
            </w:r>
          </w:p>
        </w:tc>
        <w:tc>
          <w:tcPr>
            <w:tcW w:w="851" w:type="dxa"/>
            <w:vAlign w:val="bottom"/>
            <w:hideMark/>
          </w:tcPr>
          <w:p w14:paraId="6BF67A92" w14:textId="2829F7C1"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-9.33</w:t>
            </w:r>
          </w:p>
        </w:tc>
        <w:tc>
          <w:tcPr>
            <w:tcW w:w="851" w:type="dxa"/>
            <w:vAlign w:val="bottom"/>
            <w:hideMark/>
          </w:tcPr>
          <w:p w14:paraId="69C92E5E" w14:textId="7557F6F2"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-9.41</w:t>
            </w:r>
          </w:p>
        </w:tc>
        <w:tc>
          <w:tcPr>
            <w:tcW w:w="851" w:type="dxa"/>
            <w:vAlign w:val="bottom"/>
            <w:hideMark/>
          </w:tcPr>
          <w:p w14:paraId="6604CBC0" w14:textId="6713BDC9"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-9.41</w:t>
            </w:r>
          </w:p>
        </w:tc>
        <w:tc>
          <w:tcPr>
            <w:tcW w:w="851" w:type="dxa"/>
            <w:vAlign w:val="bottom"/>
            <w:hideMark/>
          </w:tcPr>
          <w:p w14:paraId="61096B66" w14:textId="5F06E211"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-4.66</w:t>
            </w:r>
          </w:p>
        </w:tc>
        <w:tc>
          <w:tcPr>
            <w:tcW w:w="851" w:type="dxa"/>
            <w:vAlign w:val="bottom"/>
            <w:hideMark/>
          </w:tcPr>
          <w:p w14:paraId="416A226A" w14:textId="095E1BD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-1.64</w:t>
            </w:r>
          </w:p>
        </w:tc>
      </w:tr>
      <w:tr w:rsidR="009A4BEF" w14:paraId="374DFB83"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BB09F39" w14:textId="77777777" w:rsidR="009A4BEF" w:rsidRDefault="009A4BEF" w:rsidP="009A4BEF">
            <w:pPr>
              <w:pStyle w:val="TableParagraph"/>
              <w:ind w:left="79" w:right="0"/>
              <w:jc w:val="left"/>
              <w:rPr>
                <w:sz w:val="10"/>
              </w:rPr>
            </w:pPr>
            <w:r>
              <w:rPr>
                <w:sz w:val="18"/>
              </w:rPr>
              <w:t>Australian Shares</w:t>
            </w:r>
            <w:r>
              <w:rPr>
                <w:position w:val="6"/>
                <w:sz w:val="10"/>
              </w:rPr>
              <w:t>4</w:t>
            </w:r>
          </w:p>
        </w:tc>
        <w:tc>
          <w:tcPr>
            <w:tcW w:w="851" w:type="dxa"/>
            <w:vAlign w:val="bottom"/>
            <w:hideMark/>
          </w:tcPr>
          <w:p w14:paraId="51D92513" w14:textId="4932D39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9.35</w:t>
            </w:r>
          </w:p>
        </w:tc>
        <w:tc>
          <w:tcPr>
            <w:tcW w:w="851" w:type="dxa"/>
            <w:vAlign w:val="bottom"/>
            <w:hideMark/>
          </w:tcPr>
          <w:p w14:paraId="12701BCD" w14:textId="3CB4FF69"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7.15</w:t>
            </w:r>
          </w:p>
        </w:tc>
        <w:tc>
          <w:tcPr>
            <w:tcW w:w="851" w:type="dxa"/>
            <w:vAlign w:val="bottom"/>
            <w:hideMark/>
          </w:tcPr>
          <w:p w14:paraId="71E74F67" w14:textId="3C853F11"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3.81</w:t>
            </w:r>
          </w:p>
        </w:tc>
        <w:tc>
          <w:tcPr>
            <w:tcW w:w="851" w:type="dxa"/>
            <w:vAlign w:val="bottom"/>
            <w:hideMark/>
          </w:tcPr>
          <w:p w14:paraId="51DE0AA4" w14:textId="1CD6FC8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-7.44</w:t>
            </w:r>
          </w:p>
        </w:tc>
        <w:tc>
          <w:tcPr>
            <w:tcW w:w="851" w:type="dxa"/>
            <w:vAlign w:val="bottom"/>
            <w:hideMark/>
          </w:tcPr>
          <w:p w14:paraId="4E4B28E4" w14:textId="52FCB53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-11.50</w:t>
            </w:r>
          </w:p>
        </w:tc>
        <w:tc>
          <w:tcPr>
            <w:tcW w:w="851" w:type="dxa"/>
            <w:vAlign w:val="bottom"/>
            <w:hideMark/>
          </w:tcPr>
          <w:p w14:paraId="346CA193" w14:textId="551A66B0"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-11.50</w:t>
            </w:r>
          </w:p>
        </w:tc>
        <w:tc>
          <w:tcPr>
            <w:tcW w:w="851" w:type="dxa"/>
            <w:vAlign w:val="bottom"/>
            <w:hideMark/>
          </w:tcPr>
          <w:p w14:paraId="467F49B6" w14:textId="36C28E1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-12.91</w:t>
            </w:r>
          </w:p>
        </w:tc>
        <w:tc>
          <w:tcPr>
            <w:tcW w:w="851" w:type="dxa"/>
            <w:vAlign w:val="bottom"/>
            <w:hideMark/>
          </w:tcPr>
          <w:p w14:paraId="1C3BA5A2" w14:textId="1568ADF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-9.36</w:t>
            </w:r>
          </w:p>
        </w:tc>
      </w:tr>
      <w:tr w:rsidR="009A4BEF" w14:paraId="11D9526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B6AB41" w14:textId="77777777" w:rsidR="009A4BEF" w:rsidRDefault="009A4BEF" w:rsidP="009A4BEF">
            <w:pPr>
              <w:pStyle w:val="TableParagraph"/>
              <w:ind w:left="79" w:right="0"/>
              <w:jc w:val="left"/>
              <w:rPr>
                <w:sz w:val="10"/>
              </w:rPr>
            </w:pPr>
            <w:r>
              <w:rPr>
                <w:sz w:val="18"/>
              </w:rPr>
              <w:t>Int. Shares Unhedged</w:t>
            </w:r>
            <w:r>
              <w:rPr>
                <w:position w:val="6"/>
                <w:sz w:val="10"/>
              </w:rPr>
              <w:t>5</w:t>
            </w:r>
          </w:p>
        </w:tc>
        <w:tc>
          <w:tcPr>
            <w:tcW w:w="851" w:type="dxa"/>
            <w:vAlign w:val="bottom"/>
            <w:hideMark/>
          </w:tcPr>
          <w:p w14:paraId="0BD4AE37" w14:textId="3146EE79"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14.20</w:t>
            </w:r>
          </w:p>
        </w:tc>
        <w:tc>
          <w:tcPr>
            <w:tcW w:w="851" w:type="dxa"/>
            <w:vAlign w:val="bottom"/>
            <w:hideMark/>
          </w:tcPr>
          <w:p w14:paraId="792C2009" w14:textId="2CB40C33"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10.20</w:t>
            </w:r>
          </w:p>
        </w:tc>
        <w:tc>
          <w:tcPr>
            <w:tcW w:w="851" w:type="dxa"/>
            <w:vAlign w:val="bottom"/>
            <w:hideMark/>
          </w:tcPr>
          <w:p w14:paraId="2CD5F1FB" w14:textId="751B6998"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7.87</w:t>
            </w:r>
          </w:p>
        </w:tc>
        <w:tc>
          <w:tcPr>
            <w:tcW w:w="851" w:type="dxa"/>
            <w:vAlign w:val="bottom"/>
            <w:hideMark/>
          </w:tcPr>
          <w:p w14:paraId="26B0F5A3" w14:textId="4D3AB6C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-6.46</w:t>
            </w:r>
          </w:p>
        </w:tc>
        <w:tc>
          <w:tcPr>
            <w:tcW w:w="851" w:type="dxa"/>
            <w:vAlign w:val="bottom"/>
            <w:hideMark/>
          </w:tcPr>
          <w:p w14:paraId="6DCC44AE" w14:textId="0EE5AD5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-16.12</w:t>
            </w:r>
          </w:p>
        </w:tc>
        <w:tc>
          <w:tcPr>
            <w:tcW w:w="851" w:type="dxa"/>
            <w:vAlign w:val="bottom"/>
            <w:hideMark/>
          </w:tcPr>
          <w:p w14:paraId="5073B894" w14:textId="172187DF"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-16.12</w:t>
            </w:r>
          </w:p>
        </w:tc>
        <w:tc>
          <w:tcPr>
            <w:tcW w:w="851" w:type="dxa"/>
            <w:vAlign w:val="bottom"/>
            <w:hideMark/>
          </w:tcPr>
          <w:p w14:paraId="027CD8DD" w14:textId="764412BA"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-8.44</w:t>
            </w:r>
          </w:p>
        </w:tc>
        <w:tc>
          <w:tcPr>
            <w:tcW w:w="851" w:type="dxa"/>
            <w:vAlign w:val="bottom"/>
            <w:hideMark/>
          </w:tcPr>
          <w:p w14:paraId="0A985AA0" w14:textId="122201FA"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-4.67</w:t>
            </w:r>
          </w:p>
        </w:tc>
      </w:tr>
      <w:tr w:rsidR="009A4BEF" w14:paraId="51AF17F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93B965F" w14:textId="77777777" w:rsidR="009A4BEF" w:rsidRDefault="009A4BEF" w:rsidP="009A4BEF">
            <w:pPr>
              <w:pStyle w:val="TableParagraph"/>
              <w:ind w:left="79" w:right="0"/>
              <w:jc w:val="left"/>
              <w:rPr>
                <w:sz w:val="10"/>
              </w:rPr>
            </w:pPr>
            <w:r>
              <w:rPr>
                <w:sz w:val="18"/>
              </w:rPr>
              <w:t>Int. Shares Hedged</w:t>
            </w:r>
            <w:r>
              <w:rPr>
                <w:position w:val="6"/>
                <w:sz w:val="10"/>
              </w:rPr>
              <w:t>6</w:t>
            </w:r>
          </w:p>
        </w:tc>
        <w:tc>
          <w:tcPr>
            <w:tcW w:w="851" w:type="dxa"/>
            <w:vAlign w:val="bottom"/>
            <w:hideMark/>
          </w:tcPr>
          <w:p w14:paraId="5E049E5A" w14:textId="05F1954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11.37</w:t>
            </w:r>
          </w:p>
        </w:tc>
        <w:tc>
          <w:tcPr>
            <w:tcW w:w="851" w:type="dxa"/>
            <w:vAlign w:val="bottom"/>
            <w:hideMark/>
          </w:tcPr>
          <w:p w14:paraId="723BD123" w14:textId="3057E152"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7.42</w:t>
            </w:r>
          </w:p>
        </w:tc>
        <w:tc>
          <w:tcPr>
            <w:tcW w:w="851" w:type="dxa"/>
            <w:vAlign w:val="bottom"/>
            <w:hideMark/>
          </w:tcPr>
          <w:p w14:paraId="7BD321E0" w14:textId="629B3D69"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6.43</w:t>
            </w:r>
          </w:p>
        </w:tc>
        <w:tc>
          <w:tcPr>
            <w:tcW w:w="851" w:type="dxa"/>
            <w:vAlign w:val="bottom"/>
            <w:hideMark/>
          </w:tcPr>
          <w:p w14:paraId="6DC77972" w14:textId="3F8A251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-12.39</w:t>
            </w:r>
          </w:p>
        </w:tc>
        <w:tc>
          <w:tcPr>
            <w:tcW w:w="851" w:type="dxa"/>
            <w:vAlign w:val="bottom"/>
            <w:hideMark/>
          </w:tcPr>
          <w:p w14:paraId="188AF9FC" w14:textId="6BE14910"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-19.32</w:t>
            </w:r>
          </w:p>
        </w:tc>
        <w:tc>
          <w:tcPr>
            <w:tcW w:w="851" w:type="dxa"/>
            <w:vAlign w:val="bottom"/>
            <w:hideMark/>
          </w:tcPr>
          <w:p w14:paraId="26A4FDDB" w14:textId="3593D595"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-19.32</w:t>
            </w:r>
          </w:p>
        </w:tc>
        <w:tc>
          <w:tcPr>
            <w:tcW w:w="851" w:type="dxa"/>
            <w:vAlign w:val="bottom"/>
            <w:hideMark/>
          </w:tcPr>
          <w:p w14:paraId="22AB9513" w14:textId="4DCFCABA"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-15.11</w:t>
            </w:r>
          </w:p>
        </w:tc>
        <w:tc>
          <w:tcPr>
            <w:tcW w:w="851" w:type="dxa"/>
            <w:vAlign w:val="bottom"/>
            <w:hideMark/>
          </w:tcPr>
          <w:p w14:paraId="2B82BD90" w14:textId="390A4F50"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-8.15</w:t>
            </w:r>
          </w:p>
        </w:tc>
      </w:tr>
      <w:tr w:rsidR="009A4BEF" w14:paraId="326CDE2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37A36B" w14:textId="77777777" w:rsidR="009A4BEF" w:rsidRDefault="009A4BEF" w:rsidP="009A4BEF">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0285124C" w14:textId="75A6FFA7"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6.85</w:t>
            </w:r>
          </w:p>
        </w:tc>
        <w:tc>
          <w:tcPr>
            <w:tcW w:w="851" w:type="dxa"/>
            <w:vAlign w:val="bottom"/>
            <w:hideMark/>
          </w:tcPr>
          <w:p w14:paraId="461B9998" w14:textId="06E21198"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3.94</w:t>
            </w:r>
          </w:p>
        </w:tc>
        <w:tc>
          <w:tcPr>
            <w:tcW w:w="851" w:type="dxa"/>
            <w:vAlign w:val="bottom"/>
            <w:hideMark/>
          </w:tcPr>
          <w:p w14:paraId="2BE0279A" w14:textId="395B3C04"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0.72</w:t>
            </w:r>
          </w:p>
        </w:tc>
        <w:tc>
          <w:tcPr>
            <w:tcW w:w="851" w:type="dxa"/>
            <w:vAlign w:val="bottom"/>
            <w:hideMark/>
          </w:tcPr>
          <w:p w14:paraId="515BFF15" w14:textId="158AD6F7"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-18.82</w:t>
            </w:r>
          </w:p>
        </w:tc>
        <w:tc>
          <w:tcPr>
            <w:tcW w:w="851" w:type="dxa"/>
            <w:vAlign w:val="bottom"/>
            <w:hideMark/>
          </w:tcPr>
          <w:p w14:paraId="5155B50D" w14:textId="7256B80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-12.49</w:t>
            </w:r>
          </w:p>
        </w:tc>
        <w:tc>
          <w:tcPr>
            <w:tcW w:w="851" w:type="dxa"/>
            <w:vAlign w:val="bottom"/>
            <w:hideMark/>
          </w:tcPr>
          <w:p w14:paraId="600F8731" w14:textId="13D5C05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-12.49</w:t>
            </w:r>
          </w:p>
        </w:tc>
        <w:tc>
          <w:tcPr>
            <w:tcW w:w="851" w:type="dxa"/>
            <w:vAlign w:val="bottom"/>
            <w:hideMark/>
          </w:tcPr>
          <w:p w14:paraId="4EC249FA" w14:textId="1168D85B"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-3.26</w:t>
            </w:r>
          </w:p>
        </w:tc>
        <w:tc>
          <w:tcPr>
            <w:tcW w:w="851" w:type="dxa"/>
            <w:vAlign w:val="bottom"/>
            <w:hideMark/>
          </w:tcPr>
          <w:p w14:paraId="0E9CDA3C" w14:textId="1B31220D"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-2.57</w:t>
            </w:r>
          </w:p>
        </w:tc>
      </w:tr>
      <w:tr w:rsidR="009A4BEF" w14:paraId="0638DEB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5944EE6" w14:textId="77777777" w:rsidR="009A4BEF" w:rsidRDefault="009A4BEF" w:rsidP="009A4BEF">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75A38C44" w14:textId="1B5C2352"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12.65</w:t>
            </w:r>
          </w:p>
        </w:tc>
        <w:tc>
          <w:tcPr>
            <w:tcW w:w="851" w:type="dxa"/>
            <w:vAlign w:val="bottom"/>
            <w:hideMark/>
          </w:tcPr>
          <w:p w14:paraId="1E490E2E" w14:textId="48A7D233"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8.12</w:t>
            </w:r>
          </w:p>
        </w:tc>
        <w:tc>
          <w:tcPr>
            <w:tcW w:w="851" w:type="dxa"/>
            <w:vAlign w:val="bottom"/>
            <w:hideMark/>
          </w:tcPr>
          <w:p w14:paraId="73B1CFC0" w14:textId="1D61C090"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4.58</w:t>
            </w:r>
          </w:p>
        </w:tc>
        <w:tc>
          <w:tcPr>
            <w:tcW w:w="851" w:type="dxa"/>
            <w:vAlign w:val="bottom"/>
            <w:hideMark/>
          </w:tcPr>
          <w:p w14:paraId="077BFF2D" w14:textId="0B748D5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13.67</w:t>
            </w:r>
          </w:p>
        </w:tc>
        <w:tc>
          <w:tcPr>
            <w:tcW w:w="851" w:type="dxa"/>
            <w:vAlign w:val="bottom"/>
            <w:hideMark/>
          </w:tcPr>
          <w:p w14:paraId="3AF90FBB" w14:textId="2A2C52FD"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1.60</w:t>
            </w:r>
          </w:p>
        </w:tc>
        <w:tc>
          <w:tcPr>
            <w:tcW w:w="851" w:type="dxa"/>
            <w:vAlign w:val="bottom"/>
            <w:hideMark/>
          </w:tcPr>
          <w:p w14:paraId="7FDD3D1D" w14:textId="0892540C"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1.60</w:t>
            </w:r>
          </w:p>
        </w:tc>
        <w:tc>
          <w:tcPr>
            <w:tcW w:w="851" w:type="dxa"/>
            <w:vAlign w:val="bottom"/>
            <w:hideMark/>
          </w:tcPr>
          <w:p w14:paraId="657E8CFA" w14:textId="052D462E"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1.23</w:t>
            </w:r>
          </w:p>
        </w:tc>
        <w:tc>
          <w:tcPr>
            <w:tcW w:w="851" w:type="dxa"/>
            <w:vAlign w:val="bottom"/>
            <w:hideMark/>
          </w:tcPr>
          <w:p w14:paraId="42F32E02" w14:textId="0E9ACC88"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-2.26</w:t>
            </w:r>
          </w:p>
        </w:tc>
      </w:tr>
      <w:tr w:rsidR="009A4BEF" w14:paraId="713C7A7C"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EC5D499" w14:textId="77777777" w:rsidR="009A4BEF" w:rsidRDefault="009A4BEF" w:rsidP="009A4BEF">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1679C68E" w14:textId="51F26F8D"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9.50</w:t>
            </w:r>
          </w:p>
        </w:tc>
        <w:tc>
          <w:tcPr>
            <w:tcW w:w="851" w:type="dxa"/>
            <w:vAlign w:val="bottom"/>
            <w:hideMark/>
          </w:tcPr>
          <w:p w14:paraId="58C2E850" w14:textId="267F8747"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4.96</w:t>
            </w:r>
          </w:p>
        </w:tc>
        <w:tc>
          <w:tcPr>
            <w:tcW w:w="851" w:type="dxa"/>
            <w:vAlign w:val="bottom"/>
            <w:hideMark/>
          </w:tcPr>
          <w:p w14:paraId="48571DC7" w14:textId="08104BA6"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-1.95</w:t>
            </w:r>
          </w:p>
        </w:tc>
        <w:tc>
          <w:tcPr>
            <w:tcW w:w="851" w:type="dxa"/>
            <w:vAlign w:val="bottom"/>
            <w:hideMark/>
          </w:tcPr>
          <w:p w14:paraId="511E3787" w14:textId="5E1A8553"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-11.22</w:t>
            </w:r>
          </w:p>
        </w:tc>
        <w:tc>
          <w:tcPr>
            <w:tcW w:w="851" w:type="dxa"/>
            <w:vAlign w:val="bottom"/>
            <w:hideMark/>
          </w:tcPr>
          <w:p w14:paraId="0F4526E3" w14:textId="6949B0C4"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-23.03</w:t>
            </w:r>
          </w:p>
        </w:tc>
        <w:tc>
          <w:tcPr>
            <w:tcW w:w="851" w:type="dxa"/>
            <w:vAlign w:val="bottom"/>
            <w:hideMark/>
          </w:tcPr>
          <w:p w14:paraId="6AF19B11" w14:textId="2412E9B7"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-23.03</w:t>
            </w:r>
          </w:p>
        </w:tc>
        <w:tc>
          <w:tcPr>
            <w:tcW w:w="851" w:type="dxa"/>
            <w:vAlign w:val="bottom"/>
            <w:hideMark/>
          </w:tcPr>
          <w:p w14:paraId="51D6DBC1" w14:textId="110E10B5"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-17.49</w:t>
            </w:r>
          </w:p>
        </w:tc>
        <w:tc>
          <w:tcPr>
            <w:tcW w:w="851" w:type="dxa"/>
            <w:vAlign w:val="bottom"/>
            <w:hideMark/>
          </w:tcPr>
          <w:p w14:paraId="3AB94944" w14:textId="1A660154" w:rsidR="009A4BEF" w:rsidRPr="00D83FD8" w:rsidRDefault="009A4BEF" w:rsidP="009A4BEF">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9A4BEF">
              <w:rPr>
                <w:sz w:val="18"/>
              </w:rPr>
              <w:t>-10.39</w:t>
            </w:r>
          </w:p>
        </w:tc>
      </w:tr>
      <w:tr w:rsidR="009A4BEF" w14:paraId="73434EEB" w14:textId="77777777" w:rsidTr="00D0173B">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3833DD82" w14:textId="4491A48E" w:rsidR="009A4BEF" w:rsidRPr="00C3477C" w:rsidRDefault="009A4BEF" w:rsidP="009A4BEF">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38C5A4CF" w14:textId="7E791402"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9.01</w:t>
            </w:r>
          </w:p>
        </w:tc>
        <w:tc>
          <w:tcPr>
            <w:tcW w:w="851" w:type="dxa"/>
            <w:vAlign w:val="bottom"/>
            <w:hideMark/>
          </w:tcPr>
          <w:p w14:paraId="11507836" w14:textId="03E59A70"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4.50</w:t>
            </w:r>
          </w:p>
        </w:tc>
        <w:tc>
          <w:tcPr>
            <w:tcW w:w="851" w:type="dxa"/>
            <w:vAlign w:val="bottom"/>
            <w:hideMark/>
          </w:tcPr>
          <w:p w14:paraId="57206F61" w14:textId="4D14F3D6"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0.28</w:t>
            </w:r>
          </w:p>
        </w:tc>
        <w:tc>
          <w:tcPr>
            <w:tcW w:w="851" w:type="dxa"/>
            <w:vAlign w:val="bottom"/>
            <w:hideMark/>
          </w:tcPr>
          <w:p w14:paraId="125DCC2F" w14:textId="6DB20100"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-2.72</w:t>
            </w:r>
          </w:p>
        </w:tc>
        <w:tc>
          <w:tcPr>
            <w:tcW w:w="851" w:type="dxa"/>
            <w:vAlign w:val="bottom"/>
            <w:hideMark/>
          </w:tcPr>
          <w:p w14:paraId="336EE8CA" w14:textId="2322F58B"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-15.76</w:t>
            </w:r>
          </w:p>
        </w:tc>
        <w:tc>
          <w:tcPr>
            <w:tcW w:w="851" w:type="dxa"/>
            <w:vAlign w:val="bottom"/>
            <w:hideMark/>
          </w:tcPr>
          <w:p w14:paraId="40E54C53" w14:textId="25947264"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-15.76</w:t>
            </w:r>
          </w:p>
        </w:tc>
        <w:tc>
          <w:tcPr>
            <w:tcW w:w="851" w:type="dxa"/>
            <w:vAlign w:val="bottom"/>
            <w:hideMark/>
          </w:tcPr>
          <w:p w14:paraId="37ADD5CF" w14:textId="3BE277DB"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-9.62</w:t>
            </w:r>
          </w:p>
        </w:tc>
        <w:tc>
          <w:tcPr>
            <w:tcW w:w="851" w:type="dxa"/>
            <w:vAlign w:val="bottom"/>
            <w:hideMark/>
          </w:tcPr>
          <w:p w14:paraId="22F02EE2" w14:textId="42244433" w:rsidR="009A4BEF" w:rsidRPr="00D83FD8" w:rsidRDefault="009A4BEF" w:rsidP="009A4BEF">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9A4BEF">
              <w:rPr>
                <w:b w:val="0"/>
                <w:sz w:val="18"/>
              </w:rPr>
              <w:t>-4.48</w:t>
            </w:r>
          </w:p>
        </w:tc>
      </w:tr>
    </w:tbl>
    <w:p w14:paraId="2197E82F" w14:textId="22FCCE7B" w:rsidR="00A472F1" w:rsidRPr="00C3477C" w:rsidRDefault="00A472F1" w:rsidP="00A472F1">
      <w:pPr>
        <w:spacing w:before="50"/>
        <w:rPr>
          <w:b/>
          <w:bCs/>
          <w:color w:val="1ED2E6" w:themeColor="accent1"/>
        </w:rPr>
      </w:pPr>
      <w:r w:rsidRPr="00C3477C">
        <w:rPr>
          <w:b/>
          <w:bCs/>
          <w:color w:val="1ED2E6" w:themeColor="accent1"/>
        </w:rPr>
        <w:t xml:space="preserve">(As at </w:t>
      </w:r>
      <w:r w:rsidR="0002364A">
        <w:rPr>
          <w:b/>
          <w:bCs/>
          <w:color w:val="1ED2E6" w:themeColor="accent1"/>
        </w:rPr>
        <w:t>3</w:t>
      </w:r>
      <w:r w:rsidR="008F34B0">
        <w:rPr>
          <w:b/>
          <w:bCs/>
          <w:color w:val="1ED2E6" w:themeColor="accent1"/>
        </w:rPr>
        <w:t>0</w:t>
      </w:r>
      <w:r w:rsidR="001A6FC5">
        <w:rPr>
          <w:b/>
          <w:bCs/>
          <w:color w:val="1ED2E6" w:themeColor="accent1"/>
        </w:rPr>
        <w:t xml:space="preserve"> </w:t>
      </w:r>
      <w:r w:rsidR="008F34B0">
        <w:rPr>
          <w:b/>
          <w:bCs/>
          <w:color w:val="1ED2E6" w:themeColor="accent1"/>
        </w:rPr>
        <w:t>June</w:t>
      </w:r>
      <w:r w:rsidRPr="00C3477C">
        <w:rPr>
          <w:b/>
          <w:bCs/>
          <w:color w:val="1ED2E6" w:themeColor="accent1"/>
        </w:rPr>
        <w:t xml:space="preserve"> 202</w:t>
      </w:r>
      <w:r w:rsidR="003327B3">
        <w:rPr>
          <w:b/>
          <w:bCs/>
          <w:color w:val="1ED2E6" w:themeColor="accent1"/>
        </w:rPr>
        <w:t>2</w:t>
      </w:r>
      <w:r w:rsidRPr="00C3477C">
        <w:rPr>
          <w:b/>
          <w:bCs/>
          <w:color w:val="1ED2E6" w:themeColor="accent1"/>
        </w:rPr>
        <w:t>)</w:t>
      </w:r>
    </w:p>
    <w:p w14:paraId="10FB0C26" w14:textId="77777777" w:rsidR="00A472F1" w:rsidRDefault="00A472F1" w:rsidP="00A472F1">
      <w:pPr>
        <w:pStyle w:val="BodyText"/>
        <w:spacing w:before="6"/>
        <w:rPr>
          <w:rFonts w:ascii="Arial" w:eastAsia="Arial" w:hAnsi="Arial" w:cs="Arial"/>
          <w:color w:val="auto"/>
          <w:sz w:val="16"/>
          <w:szCs w:val="22"/>
          <w:lang w:val="en-US" w:bidi="en-US"/>
        </w:rPr>
      </w:pPr>
    </w:p>
    <w:p w14:paraId="0A0DDA29" w14:textId="77777777" w:rsidR="00A472F1" w:rsidRDefault="00A472F1" w:rsidP="00A472F1">
      <w:pPr>
        <w:spacing w:before="53" w:line="266" w:lineRule="auto"/>
        <w:ind w:right="1049"/>
        <w:jc w:val="both"/>
        <w:rPr>
          <w:sz w:val="14"/>
        </w:rPr>
      </w:pPr>
      <w:r>
        <w:rPr>
          <w:sz w:val="14"/>
        </w:rPr>
        <w:t xml:space="preserve">1 Bloomberg </w:t>
      </w:r>
      <w:proofErr w:type="spellStart"/>
      <w:r>
        <w:rPr>
          <w:sz w:val="14"/>
        </w:rPr>
        <w:t>AusBond</w:t>
      </w:r>
      <w:proofErr w:type="spellEnd"/>
      <w:r>
        <w:rPr>
          <w:sz w:val="14"/>
        </w:rPr>
        <w:t xml:space="preserve"> Bank 0+Y TR AUD, 2 Bloomberg </w:t>
      </w:r>
      <w:proofErr w:type="spellStart"/>
      <w:r>
        <w:rPr>
          <w:sz w:val="14"/>
        </w:rPr>
        <w:t>AusBond</w:t>
      </w:r>
      <w:proofErr w:type="spellEnd"/>
      <w:r>
        <w:rPr>
          <w:sz w:val="14"/>
        </w:rPr>
        <w:t xml:space="preserve"> Composite 0+Y TR AUD, 3 Bloomberg Barclays Global Aggregate TR </w:t>
      </w:r>
      <w:proofErr w:type="spellStart"/>
      <w:r>
        <w:rPr>
          <w:sz w:val="14"/>
        </w:rPr>
        <w:t>Hdg</w:t>
      </w:r>
      <w:proofErr w:type="spellEnd"/>
      <w:r>
        <w:rPr>
          <w:sz w:val="14"/>
        </w:rPr>
        <w:t xml:space="preserve"> AUD, 4 S&amp;P/ASX All Ordinaries TR, 5 Vanguard International Shares Index, 6 Vanguard Intl Shares Index </w:t>
      </w:r>
      <w:proofErr w:type="spellStart"/>
      <w:r>
        <w:rPr>
          <w:sz w:val="14"/>
        </w:rPr>
        <w:t>Hdg</w:t>
      </w:r>
      <w:proofErr w:type="spellEnd"/>
      <w:r>
        <w:rPr>
          <w:sz w:val="14"/>
        </w:rPr>
        <w:t xml:space="preserve"> AUD TR, 7 Vanguard Emerging Markets Shares Index, 8 FTSE Developed Core Infrastructure 50/50 NR AUD, 9 S&amp;P/ASX 300 AREIT TR, 10 FTSE EPRA/NAREIT Global REITs NR AUD</w:t>
      </w:r>
    </w:p>
    <w:p w14:paraId="50770DE4" w14:textId="77777777" w:rsidR="00A472F1" w:rsidRDefault="00A472F1" w:rsidP="00A472F1">
      <w:pPr>
        <w:spacing w:before="53" w:line="266" w:lineRule="auto"/>
        <w:ind w:right="1049"/>
        <w:jc w:val="both"/>
        <w:rPr>
          <w:sz w:val="14"/>
        </w:rPr>
      </w:pPr>
      <w:r>
        <w:rPr>
          <w:sz w:val="14"/>
        </w:rPr>
        <w:t xml:space="preserve">Source: Centrepoint Research Team, Morningstar Direct </w:t>
      </w:r>
    </w:p>
    <w:p w14:paraId="60C5DCF4" w14:textId="21BA7919" w:rsidR="00A472F1" w:rsidRPr="00A472F1" w:rsidRDefault="00A472F1" w:rsidP="00A472F1"/>
    <w:bookmarkEnd w:id="1"/>
    <w:bookmarkEnd w:id="0"/>
    <w:p w14:paraId="2D14DC47" w14:textId="77777777" w:rsidR="00561811" w:rsidRPr="00C3477C" w:rsidRDefault="00561811" w:rsidP="00561811">
      <w:pPr>
        <w:pStyle w:val="BodyText"/>
        <w:spacing w:line="300" w:lineRule="auto"/>
        <w:ind w:right="731"/>
        <w:jc w:val="both"/>
        <w:rPr>
          <w:b/>
          <w:bCs/>
          <w:color w:val="1ED2E6" w:themeColor="accent1"/>
        </w:rPr>
      </w:pPr>
      <w:r w:rsidRPr="00A472F1">
        <w:rPr>
          <w:b/>
          <w:bCs/>
          <w:color w:val="1ED2E6" w:themeColor="accent1"/>
        </w:rPr>
        <w:t>International Equities</w:t>
      </w:r>
    </w:p>
    <w:p w14:paraId="562560DE" w14:textId="348717A2" w:rsidR="00B47B2C" w:rsidRDefault="009B300A" w:rsidP="00561811">
      <w:pPr>
        <w:pStyle w:val="BodyText"/>
        <w:spacing w:line="300" w:lineRule="auto"/>
        <w:ind w:right="731"/>
        <w:jc w:val="both"/>
        <w:rPr>
          <w:rFonts w:cstheme="minorHAnsi"/>
        </w:rPr>
      </w:pPr>
      <w:r>
        <w:rPr>
          <w:rFonts w:cstheme="minorHAnsi"/>
        </w:rPr>
        <w:t xml:space="preserve">So far in 2022, markets have been reacting negatively to both inflation and interest rates. This was occurring whilst economic growth was (and still moderately is) strong. These interest rate increases are now seeping into economic fundamentals as fears of a recession begin to surface. Hedged international shares returned -8.15% and unhedged returned -4.67%. This was the first month of a changing market narrative </w:t>
      </w:r>
      <w:r w:rsidR="00391659">
        <w:rPr>
          <w:rFonts w:cstheme="minorHAnsi"/>
        </w:rPr>
        <w:t>towards lower economic growth going forward whilst rates are being raised at this pace to impede the rise in inflation.</w:t>
      </w:r>
    </w:p>
    <w:p w14:paraId="5A95F0BC" w14:textId="3DA27EEA" w:rsidR="00561811" w:rsidRDefault="00561811" w:rsidP="00561811">
      <w:pPr>
        <w:pStyle w:val="BodyText"/>
        <w:spacing w:line="300" w:lineRule="auto"/>
        <w:ind w:right="731"/>
        <w:jc w:val="both"/>
        <w:rPr>
          <w:b/>
          <w:bCs/>
          <w:color w:val="1ED2E6" w:themeColor="accent1"/>
        </w:rPr>
      </w:pPr>
      <w:r w:rsidRPr="00C3477C">
        <w:rPr>
          <w:b/>
          <w:bCs/>
          <w:color w:val="1ED2E6" w:themeColor="accent1"/>
        </w:rPr>
        <w:t>Australian Equities</w:t>
      </w:r>
    </w:p>
    <w:p w14:paraId="1DEBA16A" w14:textId="0C793EDC" w:rsidR="00391659" w:rsidRPr="00391659" w:rsidRDefault="00391659" w:rsidP="00561811">
      <w:pPr>
        <w:pStyle w:val="BodyText"/>
        <w:spacing w:line="300" w:lineRule="auto"/>
        <w:ind w:right="731"/>
        <w:jc w:val="both"/>
        <w:rPr>
          <w:rFonts w:cstheme="minorHAnsi"/>
        </w:rPr>
      </w:pPr>
      <w:r>
        <w:rPr>
          <w:rFonts w:cstheme="minorHAnsi"/>
        </w:rPr>
        <w:t xml:space="preserve">Australian shares confirmed that the weakness in the market this month stemmed from economic weakness as the market dropped 9.36% during the month. Australia is more prone to </w:t>
      </w:r>
      <w:r w:rsidR="002D7E8C">
        <w:rPr>
          <w:rFonts w:cstheme="minorHAnsi"/>
        </w:rPr>
        <w:t>economic slowdowns as</w:t>
      </w:r>
      <w:r w:rsidR="00CB2051">
        <w:rPr>
          <w:rFonts w:cstheme="minorHAnsi"/>
        </w:rPr>
        <w:t xml:space="preserve"> the</w:t>
      </w:r>
      <w:r w:rsidR="002D7E8C">
        <w:rPr>
          <w:rFonts w:cstheme="minorHAnsi"/>
        </w:rPr>
        <w:t xml:space="preserve"> materials </w:t>
      </w:r>
      <w:r w:rsidR="00CB2051">
        <w:rPr>
          <w:rFonts w:cstheme="minorHAnsi"/>
        </w:rPr>
        <w:t>sector was the worst performer on the month. This change in underlying market dynamics is important to understand. The economic picture is weakening as Central Banks continue to raise rates to fight inflation.</w:t>
      </w:r>
    </w:p>
    <w:p w14:paraId="74CECB77" w14:textId="77777777" w:rsidR="00561811" w:rsidRPr="00066ABD" w:rsidRDefault="00561811" w:rsidP="00561811">
      <w:pPr>
        <w:pStyle w:val="BodyText"/>
        <w:spacing w:line="300" w:lineRule="auto"/>
        <w:ind w:right="731"/>
        <w:jc w:val="both"/>
        <w:rPr>
          <w:b/>
          <w:bCs/>
          <w:color w:val="1ED2E6" w:themeColor="accent1"/>
        </w:rPr>
      </w:pPr>
      <w:r w:rsidRPr="00C3477C">
        <w:rPr>
          <w:b/>
          <w:bCs/>
          <w:color w:val="1ED2E6" w:themeColor="accent1"/>
        </w:rPr>
        <w:t>Domestic and International Fixed Income</w:t>
      </w:r>
    </w:p>
    <w:p w14:paraId="35E5B354" w14:textId="34683A85" w:rsidR="00271C8D" w:rsidRDefault="00CB2051" w:rsidP="00561811">
      <w:pPr>
        <w:pStyle w:val="BodyText"/>
        <w:spacing w:line="300" w:lineRule="auto"/>
        <w:ind w:right="731"/>
        <w:jc w:val="both"/>
        <w:rPr>
          <w:rFonts w:cstheme="minorHAnsi"/>
        </w:rPr>
      </w:pPr>
      <w:r>
        <w:rPr>
          <w:rFonts w:cstheme="minorHAnsi"/>
        </w:rPr>
        <w:t xml:space="preserve">Fixed income in general fell on the month but was not the fundamental reason for equity market weakness. Australian bonds fell 1.48% whilst international bonds fell 1.64%. </w:t>
      </w:r>
      <w:r w:rsidR="00425B8B">
        <w:rPr>
          <w:rFonts w:cstheme="minorHAnsi"/>
        </w:rPr>
        <w:t xml:space="preserve">A reacceleration in inflation would cause further fixed income weakness. </w:t>
      </w:r>
      <w:r w:rsidR="00762256">
        <w:rPr>
          <w:rFonts w:cstheme="minorHAnsi"/>
        </w:rPr>
        <w:t xml:space="preserve">A subtle stabilisation in rates has occurred off the back of </w:t>
      </w:r>
      <w:r w:rsidR="00762256">
        <w:rPr>
          <w:rFonts w:cstheme="minorHAnsi"/>
        </w:rPr>
        <w:lastRenderedPageBreak/>
        <w:t xml:space="preserve">the weakening economic picture as bonds are beginning to show signs of capital protection in the event of weakening economic fundamentals. </w:t>
      </w:r>
    </w:p>
    <w:p w14:paraId="6014391B"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Dollar</w:t>
      </w:r>
    </w:p>
    <w:p w14:paraId="5FD6C1F0" w14:textId="1D2BC5D1" w:rsidR="008F34B0" w:rsidRDefault="008F34B0" w:rsidP="00561811">
      <w:pPr>
        <w:pStyle w:val="BodyText"/>
        <w:spacing w:line="300" w:lineRule="auto"/>
        <w:ind w:right="731"/>
        <w:jc w:val="both"/>
        <w:rPr>
          <w:rFonts w:cstheme="minorHAnsi"/>
        </w:rPr>
      </w:pPr>
      <w:r>
        <w:rPr>
          <w:rFonts w:cstheme="minorHAnsi"/>
        </w:rPr>
        <w:t>The Australian Dollar fell a substantial 4.33% during the month of June. This further points to a general slowdown in economic activity getting priced into the currency. The Australian Dollar is viewed as a ‘risk-on’ currency, meaning it will perform well when global and domestic economic activity is strong. Strength in the United States Dollar as a safe haven from market volatility also put downward pressure on the Australian Dollar during the month.</w:t>
      </w:r>
    </w:p>
    <w:p w14:paraId="61345EA3" w14:textId="311F6B42" w:rsidR="00561811" w:rsidRDefault="00561811" w:rsidP="001D5FBD">
      <w:pPr>
        <w:jc w:val="both"/>
      </w:pPr>
    </w:p>
    <w:p w14:paraId="1D6286DD" w14:textId="67DC957D" w:rsidR="00561811" w:rsidRDefault="00561811" w:rsidP="001D5FBD">
      <w:pPr>
        <w:jc w:val="both"/>
      </w:pPr>
    </w:p>
    <w:p w14:paraId="145FC803" w14:textId="3988C846" w:rsidR="00561811" w:rsidRDefault="00561811" w:rsidP="001D5FBD">
      <w:pPr>
        <w:jc w:val="both"/>
      </w:pPr>
    </w:p>
    <w:p w14:paraId="4F77ED36" w14:textId="46D40AE8" w:rsidR="00561811" w:rsidRDefault="00561811" w:rsidP="001D5FBD">
      <w:pPr>
        <w:jc w:val="both"/>
      </w:pPr>
    </w:p>
    <w:p w14:paraId="4FB33B66" w14:textId="77777777" w:rsidR="00561811" w:rsidRDefault="00561811" w:rsidP="001D5FBD">
      <w:pPr>
        <w:jc w:val="both"/>
        <w:rPr>
          <w:b/>
          <w:bCs/>
          <w:color w:val="5A5B5E" w:themeColor="text1"/>
          <w:szCs w:val="20"/>
        </w:rPr>
      </w:pPr>
    </w:p>
    <w:p w14:paraId="5D6ADA54" w14:textId="77777777" w:rsidR="00920B8A" w:rsidRDefault="00920B8A" w:rsidP="001D5FBD">
      <w:pPr>
        <w:jc w:val="both"/>
        <w:rPr>
          <w:b/>
          <w:bCs/>
          <w:color w:val="5A5B5E" w:themeColor="text1"/>
          <w:szCs w:val="20"/>
        </w:rPr>
      </w:pPr>
    </w:p>
    <w:p w14:paraId="7BA4EB1E" w14:textId="77777777" w:rsidR="00920B8A" w:rsidRDefault="00920B8A" w:rsidP="001D5FBD">
      <w:pPr>
        <w:jc w:val="both"/>
        <w:rPr>
          <w:b/>
          <w:bCs/>
          <w:color w:val="5A5B5E" w:themeColor="text1"/>
          <w:szCs w:val="20"/>
        </w:rPr>
      </w:pPr>
    </w:p>
    <w:p w14:paraId="320836CD" w14:textId="15C1CE36" w:rsidR="00920B8A" w:rsidRDefault="00920B8A" w:rsidP="001D5FBD">
      <w:pPr>
        <w:jc w:val="both"/>
        <w:rPr>
          <w:b/>
          <w:bCs/>
          <w:color w:val="5A5B5E" w:themeColor="text1"/>
          <w:szCs w:val="20"/>
        </w:rPr>
      </w:pPr>
    </w:p>
    <w:p w14:paraId="0C156DA5" w14:textId="78B3BB1C" w:rsidR="002D64EA" w:rsidRDefault="002D64EA" w:rsidP="001D5FBD">
      <w:pPr>
        <w:jc w:val="both"/>
        <w:rPr>
          <w:b/>
          <w:bCs/>
          <w:color w:val="5A5B5E" w:themeColor="text1"/>
          <w:szCs w:val="20"/>
        </w:rPr>
      </w:pPr>
    </w:p>
    <w:p w14:paraId="51D55EE5" w14:textId="51E2633D" w:rsidR="00866013" w:rsidRDefault="00866013" w:rsidP="001D5FBD">
      <w:pPr>
        <w:jc w:val="both"/>
        <w:rPr>
          <w:b/>
          <w:bCs/>
          <w:color w:val="5A5B5E" w:themeColor="text1"/>
          <w:szCs w:val="20"/>
        </w:rPr>
      </w:pPr>
    </w:p>
    <w:p w14:paraId="7505EC3B" w14:textId="7F4481CD" w:rsidR="008F34B0" w:rsidRDefault="008F34B0" w:rsidP="001D5FBD">
      <w:pPr>
        <w:jc w:val="both"/>
        <w:rPr>
          <w:b/>
          <w:bCs/>
          <w:color w:val="5A5B5E" w:themeColor="text1"/>
          <w:szCs w:val="20"/>
        </w:rPr>
      </w:pPr>
    </w:p>
    <w:p w14:paraId="023484BF" w14:textId="33D53CD3" w:rsidR="008F34B0" w:rsidRDefault="008F34B0" w:rsidP="001D5FBD">
      <w:pPr>
        <w:jc w:val="both"/>
        <w:rPr>
          <w:b/>
          <w:bCs/>
          <w:color w:val="5A5B5E" w:themeColor="text1"/>
          <w:szCs w:val="20"/>
        </w:rPr>
      </w:pPr>
    </w:p>
    <w:p w14:paraId="168B2F4B" w14:textId="74A2030B" w:rsidR="008F34B0" w:rsidRDefault="008F34B0" w:rsidP="001D5FBD">
      <w:pPr>
        <w:jc w:val="both"/>
        <w:rPr>
          <w:b/>
          <w:bCs/>
          <w:color w:val="5A5B5E" w:themeColor="text1"/>
          <w:szCs w:val="20"/>
        </w:rPr>
      </w:pPr>
    </w:p>
    <w:p w14:paraId="00787AA8" w14:textId="29063176" w:rsidR="008F34B0" w:rsidRDefault="008F34B0" w:rsidP="001D5FBD">
      <w:pPr>
        <w:jc w:val="both"/>
        <w:rPr>
          <w:b/>
          <w:bCs/>
          <w:color w:val="5A5B5E" w:themeColor="text1"/>
          <w:szCs w:val="20"/>
        </w:rPr>
      </w:pPr>
    </w:p>
    <w:p w14:paraId="6DA438B5" w14:textId="0774A191" w:rsidR="008F34B0" w:rsidRDefault="008F34B0" w:rsidP="001D5FBD">
      <w:pPr>
        <w:jc w:val="both"/>
        <w:rPr>
          <w:b/>
          <w:bCs/>
          <w:color w:val="5A5B5E" w:themeColor="text1"/>
          <w:szCs w:val="20"/>
        </w:rPr>
      </w:pPr>
    </w:p>
    <w:p w14:paraId="635FFE82" w14:textId="77777777" w:rsidR="00866013" w:rsidRDefault="00866013" w:rsidP="001D5FBD">
      <w:pPr>
        <w:jc w:val="both"/>
        <w:rPr>
          <w:b/>
          <w:bCs/>
          <w:color w:val="5A5B5E" w:themeColor="text1"/>
          <w:szCs w:val="20"/>
        </w:rPr>
      </w:pPr>
    </w:p>
    <w:p w14:paraId="17E82B78" w14:textId="00DCCF45" w:rsidR="001D5FBD" w:rsidRPr="00290F20" w:rsidRDefault="001D5FBD" w:rsidP="001D5FBD">
      <w:pPr>
        <w:jc w:val="both"/>
        <w:rPr>
          <w:b/>
          <w:bCs/>
          <w:color w:val="5A5B5E" w:themeColor="text1"/>
          <w:szCs w:val="20"/>
        </w:rPr>
      </w:pPr>
      <w:r w:rsidRPr="00290F20">
        <w:rPr>
          <w:b/>
          <w:bCs/>
          <w:color w:val="5A5B5E" w:themeColor="text1"/>
          <w:szCs w:val="20"/>
        </w:rPr>
        <w:t>Disclaimer</w:t>
      </w:r>
    </w:p>
    <w:p w14:paraId="40D848FA"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4746301"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is general advice only has not taken into account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31A72F84" w:rsidR="004E533B" w:rsidRPr="00920B8A" w:rsidRDefault="001D5FBD" w:rsidP="00920B8A">
      <w:pPr>
        <w:pStyle w:val="SubBulletPoints"/>
        <w:numPr>
          <w:ilvl w:val="0"/>
          <w:numId w:val="0"/>
        </w:numPr>
        <w:spacing w:before="100" w:after="200"/>
        <w:jc w:val="both"/>
        <w:rPr>
          <w:sz w:val="18"/>
        </w:rPr>
      </w:pPr>
      <w:r w:rsidRPr="00B52198">
        <w:rPr>
          <w:sz w:val="18"/>
        </w:rPr>
        <w:t>Whilst all care has been taken in the preparation of this material, no warranty is given in respect of the information provided and accordingly neither Centrepoint Alliance Ltd nor its related entities, guarantee the data or content contained herein to be accurate, complete or timely nor will they have any liability for its use or distribution</w:t>
      </w:r>
      <w:r w:rsidRPr="00382654">
        <w:rPr>
          <w:sz w:val="18"/>
        </w:rPr>
        <w:t>.</w:t>
      </w:r>
      <w:bookmarkEnd w:id="2"/>
    </w:p>
    <w:sectPr w:rsidR="004E533B" w:rsidRPr="00920B8A" w:rsidSect="00253DF2">
      <w:footerReference w:type="default" r:id="rId11"/>
      <w:headerReference w:type="first" r:id="rId12"/>
      <w:footerReference w:type="first" r:id="rId13"/>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DD16" w14:textId="77777777" w:rsidR="002C08C4" w:rsidRDefault="002C08C4" w:rsidP="008F222C">
      <w:r>
        <w:separator/>
      </w:r>
    </w:p>
  </w:endnote>
  <w:endnote w:type="continuationSeparator" w:id="0">
    <w:p w14:paraId="405ED225" w14:textId="77777777" w:rsidR="002C08C4" w:rsidRDefault="002C08C4"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013B9839"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76F0A708"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D265" w14:textId="77777777" w:rsidR="002C08C4" w:rsidRDefault="002C08C4" w:rsidP="008F222C">
      <w:r>
        <w:separator/>
      </w:r>
    </w:p>
  </w:footnote>
  <w:footnote w:type="continuationSeparator" w:id="0">
    <w:p w14:paraId="238B3659" w14:textId="77777777" w:rsidR="002C08C4" w:rsidRDefault="002C08C4"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8A" w14:textId="77777777" w:rsidR="0090718D" w:rsidRPr="005D073E" w:rsidRDefault="0090718D" w:rsidP="005D073E">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52020"/>
    <w:rsid w:val="00053AF0"/>
    <w:rsid w:val="00066ABD"/>
    <w:rsid w:val="00067E1F"/>
    <w:rsid w:val="00071D96"/>
    <w:rsid w:val="0009222C"/>
    <w:rsid w:val="000A678B"/>
    <w:rsid w:val="000A7827"/>
    <w:rsid w:val="000B605C"/>
    <w:rsid w:val="000B65B4"/>
    <w:rsid w:val="000B678A"/>
    <w:rsid w:val="000B7663"/>
    <w:rsid w:val="000C04DC"/>
    <w:rsid w:val="000D17D7"/>
    <w:rsid w:val="000D40C4"/>
    <w:rsid w:val="000D6691"/>
    <w:rsid w:val="000D7492"/>
    <w:rsid w:val="000E31A4"/>
    <w:rsid w:val="000E6C62"/>
    <w:rsid w:val="000F2B80"/>
    <w:rsid w:val="001038A5"/>
    <w:rsid w:val="001102B0"/>
    <w:rsid w:val="00121F25"/>
    <w:rsid w:val="00122284"/>
    <w:rsid w:val="00125533"/>
    <w:rsid w:val="00126B75"/>
    <w:rsid w:val="00127B18"/>
    <w:rsid w:val="00136106"/>
    <w:rsid w:val="00171E18"/>
    <w:rsid w:val="00182F08"/>
    <w:rsid w:val="0018513F"/>
    <w:rsid w:val="00192774"/>
    <w:rsid w:val="00193992"/>
    <w:rsid w:val="001A07D4"/>
    <w:rsid w:val="001A6FC5"/>
    <w:rsid w:val="001B3F68"/>
    <w:rsid w:val="001B7D46"/>
    <w:rsid w:val="001C2C77"/>
    <w:rsid w:val="001D01EC"/>
    <w:rsid w:val="001D5FBD"/>
    <w:rsid w:val="001E0A33"/>
    <w:rsid w:val="001E1E31"/>
    <w:rsid w:val="001E312C"/>
    <w:rsid w:val="001E4462"/>
    <w:rsid w:val="001E55E2"/>
    <w:rsid w:val="001F0240"/>
    <w:rsid w:val="001F5FE4"/>
    <w:rsid w:val="002079C3"/>
    <w:rsid w:val="002113AB"/>
    <w:rsid w:val="00220542"/>
    <w:rsid w:val="00223BB4"/>
    <w:rsid w:val="002344C5"/>
    <w:rsid w:val="00240669"/>
    <w:rsid w:val="00241542"/>
    <w:rsid w:val="0024796A"/>
    <w:rsid w:val="00253DF2"/>
    <w:rsid w:val="0025665E"/>
    <w:rsid w:val="002574EF"/>
    <w:rsid w:val="002629BD"/>
    <w:rsid w:val="00271C8D"/>
    <w:rsid w:val="00275B03"/>
    <w:rsid w:val="00291C92"/>
    <w:rsid w:val="00292E5C"/>
    <w:rsid w:val="002974C4"/>
    <w:rsid w:val="002A34C1"/>
    <w:rsid w:val="002A5AF4"/>
    <w:rsid w:val="002A6386"/>
    <w:rsid w:val="002A699A"/>
    <w:rsid w:val="002B4051"/>
    <w:rsid w:val="002B5E02"/>
    <w:rsid w:val="002B6AF5"/>
    <w:rsid w:val="002C06B0"/>
    <w:rsid w:val="002C08C4"/>
    <w:rsid w:val="002D63C5"/>
    <w:rsid w:val="002D64EA"/>
    <w:rsid w:val="002D7E8C"/>
    <w:rsid w:val="002E79AB"/>
    <w:rsid w:val="002F7382"/>
    <w:rsid w:val="003012E3"/>
    <w:rsid w:val="003058F2"/>
    <w:rsid w:val="00312632"/>
    <w:rsid w:val="00323B07"/>
    <w:rsid w:val="003244A7"/>
    <w:rsid w:val="00331696"/>
    <w:rsid w:val="003327B3"/>
    <w:rsid w:val="00334C3A"/>
    <w:rsid w:val="0035079A"/>
    <w:rsid w:val="00363239"/>
    <w:rsid w:val="003641AD"/>
    <w:rsid w:val="003668AF"/>
    <w:rsid w:val="00391659"/>
    <w:rsid w:val="00391D78"/>
    <w:rsid w:val="00393CEC"/>
    <w:rsid w:val="003A0372"/>
    <w:rsid w:val="003A255D"/>
    <w:rsid w:val="003B0931"/>
    <w:rsid w:val="003B25C2"/>
    <w:rsid w:val="003C04A9"/>
    <w:rsid w:val="003C0D30"/>
    <w:rsid w:val="003D187F"/>
    <w:rsid w:val="003E035A"/>
    <w:rsid w:val="003E6DA4"/>
    <w:rsid w:val="003F253D"/>
    <w:rsid w:val="003F7858"/>
    <w:rsid w:val="00401BAD"/>
    <w:rsid w:val="004112FB"/>
    <w:rsid w:val="00412140"/>
    <w:rsid w:val="0041521E"/>
    <w:rsid w:val="00424A85"/>
    <w:rsid w:val="00425B8B"/>
    <w:rsid w:val="00441E66"/>
    <w:rsid w:val="00443CB5"/>
    <w:rsid w:val="00450FAB"/>
    <w:rsid w:val="004572D9"/>
    <w:rsid w:val="00464EF0"/>
    <w:rsid w:val="004817AD"/>
    <w:rsid w:val="0049004C"/>
    <w:rsid w:val="00494E1C"/>
    <w:rsid w:val="004C21AF"/>
    <w:rsid w:val="004C7A6F"/>
    <w:rsid w:val="004D004D"/>
    <w:rsid w:val="004E146A"/>
    <w:rsid w:val="004E533B"/>
    <w:rsid w:val="004E6571"/>
    <w:rsid w:val="004E6AB7"/>
    <w:rsid w:val="004F7721"/>
    <w:rsid w:val="004F78EB"/>
    <w:rsid w:val="0051113D"/>
    <w:rsid w:val="00514801"/>
    <w:rsid w:val="00517415"/>
    <w:rsid w:val="00520FFC"/>
    <w:rsid w:val="0052142D"/>
    <w:rsid w:val="0052196B"/>
    <w:rsid w:val="00542056"/>
    <w:rsid w:val="0055272C"/>
    <w:rsid w:val="005552E3"/>
    <w:rsid w:val="005601BB"/>
    <w:rsid w:val="00561811"/>
    <w:rsid w:val="00567195"/>
    <w:rsid w:val="0056763B"/>
    <w:rsid w:val="00570AF4"/>
    <w:rsid w:val="005849D2"/>
    <w:rsid w:val="00587045"/>
    <w:rsid w:val="0059107A"/>
    <w:rsid w:val="00591434"/>
    <w:rsid w:val="005A5D2B"/>
    <w:rsid w:val="005A7969"/>
    <w:rsid w:val="005B0A78"/>
    <w:rsid w:val="005D073E"/>
    <w:rsid w:val="005D3223"/>
    <w:rsid w:val="005E5032"/>
    <w:rsid w:val="005E7BF7"/>
    <w:rsid w:val="005F142F"/>
    <w:rsid w:val="005F1626"/>
    <w:rsid w:val="005F1674"/>
    <w:rsid w:val="00606C86"/>
    <w:rsid w:val="00611F35"/>
    <w:rsid w:val="00617AB1"/>
    <w:rsid w:val="006208DD"/>
    <w:rsid w:val="00621B67"/>
    <w:rsid w:val="0063117F"/>
    <w:rsid w:val="00633192"/>
    <w:rsid w:val="00635A87"/>
    <w:rsid w:val="00642545"/>
    <w:rsid w:val="0064424F"/>
    <w:rsid w:val="0064570E"/>
    <w:rsid w:val="006564A0"/>
    <w:rsid w:val="00661505"/>
    <w:rsid w:val="00673FDC"/>
    <w:rsid w:val="00674CAD"/>
    <w:rsid w:val="006768A5"/>
    <w:rsid w:val="006772D8"/>
    <w:rsid w:val="006776C5"/>
    <w:rsid w:val="006841CF"/>
    <w:rsid w:val="0068591D"/>
    <w:rsid w:val="006A53C5"/>
    <w:rsid w:val="006A77D7"/>
    <w:rsid w:val="006B5E8E"/>
    <w:rsid w:val="006C2166"/>
    <w:rsid w:val="006C4C78"/>
    <w:rsid w:val="006C4D5D"/>
    <w:rsid w:val="006C5E87"/>
    <w:rsid w:val="006D7557"/>
    <w:rsid w:val="006F055E"/>
    <w:rsid w:val="006F2296"/>
    <w:rsid w:val="006F276F"/>
    <w:rsid w:val="007015E8"/>
    <w:rsid w:val="0070431C"/>
    <w:rsid w:val="00711513"/>
    <w:rsid w:val="00725E1D"/>
    <w:rsid w:val="00735DCC"/>
    <w:rsid w:val="00736146"/>
    <w:rsid w:val="00746408"/>
    <w:rsid w:val="00762256"/>
    <w:rsid w:val="00763E9D"/>
    <w:rsid w:val="00766849"/>
    <w:rsid w:val="00770507"/>
    <w:rsid w:val="00771224"/>
    <w:rsid w:val="007777B6"/>
    <w:rsid w:val="00780CBF"/>
    <w:rsid w:val="007810CB"/>
    <w:rsid w:val="00783AF7"/>
    <w:rsid w:val="0078778C"/>
    <w:rsid w:val="007A6C26"/>
    <w:rsid w:val="007C0B7A"/>
    <w:rsid w:val="007C2A40"/>
    <w:rsid w:val="007C2E13"/>
    <w:rsid w:val="007C3AC2"/>
    <w:rsid w:val="007C6C6A"/>
    <w:rsid w:val="007E0FF3"/>
    <w:rsid w:val="007E1140"/>
    <w:rsid w:val="007E2412"/>
    <w:rsid w:val="007F17FB"/>
    <w:rsid w:val="007F4093"/>
    <w:rsid w:val="007F469A"/>
    <w:rsid w:val="007F662A"/>
    <w:rsid w:val="00800587"/>
    <w:rsid w:val="00800C94"/>
    <w:rsid w:val="008034FB"/>
    <w:rsid w:val="00803BF8"/>
    <w:rsid w:val="008117D6"/>
    <w:rsid w:val="00825028"/>
    <w:rsid w:val="0083041D"/>
    <w:rsid w:val="00832099"/>
    <w:rsid w:val="00835221"/>
    <w:rsid w:val="00836884"/>
    <w:rsid w:val="00841E09"/>
    <w:rsid w:val="008431FE"/>
    <w:rsid w:val="00845BDD"/>
    <w:rsid w:val="0084715D"/>
    <w:rsid w:val="00855D7C"/>
    <w:rsid w:val="008577E8"/>
    <w:rsid w:val="00857E03"/>
    <w:rsid w:val="00865D09"/>
    <w:rsid w:val="00866013"/>
    <w:rsid w:val="0087433D"/>
    <w:rsid w:val="00881D34"/>
    <w:rsid w:val="00883F13"/>
    <w:rsid w:val="00895206"/>
    <w:rsid w:val="008B4D0A"/>
    <w:rsid w:val="008B6502"/>
    <w:rsid w:val="008B7BA5"/>
    <w:rsid w:val="008D3F90"/>
    <w:rsid w:val="008E2C2B"/>
    <w:rsid w:val="008E4B8B"/>
    <w:rsid w:val="008F222C"/>
    <w:rsid w:val="008F2425"/>
    <w:rsid w:val="008F34B0"/>
    <w:rsid w:val="00901CC1"/>
    <w:rsid w:val="00901F60"/>
    <w:rsid w:val="00904D26"/>
    <w:rsid w:val="0090718D"/>
    <w:rsid w:val="00910BDC"/>
    <w:rsid w:val="00914D09"/>
    <w:rsid w:val="00920B8A"/>
    <w:rsid w:val="00920C8E"/>
    <w:rsid w:val="0092779E"/>
    <w:rsid w:val="009360B7"/>
    <w:rsid w:val="00952397"/>
    <w:rsid w:val="00966519"/>
    <w:rsid w:val="0097231C"/>
    <w:rsid w:val="009732CB"/>
    <w:rsid w:val="00975B15"/>
    <w:rsid w:val="00995633"/>
    <w:rsid w:val="009A4BEF"/>
    <w:rsid w:val="009B223B"/>
    <w:rsid w:val="009B2D9B"/>
    <w:rsid w:val="009B300A"/>
    <w:rsid w:val="009B648C"/>
    <w:rsid w:val="009B6D7A"/>
    <w:rsid w:val="009B7F3B"/>
    <w:rsid w:val="009C22BC"/>
    <w:rsid w:val="009C392D"/>
    <w:rsid w:val="009D5E92"/>
    <w:rsid w:val="009F5A95"/>
    <w:rsid w:val="009F63A6"/>
    <w:rsid w:val="00A02F22"/>
    <w:rsid w:val="00A04532"/>
    <w:rsid w:val="00A047EB"/>
    <w:rsid w:val="00A1012A"/>
    <w:rsid w:val="00A22F0F"/>
    <w:rsid w:val="00A472F1"/>
    <w:rsid w:val="00A47758"/>
    <w:rsid w:val="00A5358E"/>
    <w:rsid w:val="00A55694"/>
    <w:rsid w:val="00A67A25"/>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B01B9F"/>
    <w:rsid w:val="00B04FDB"/>
    <w:rsid w:val="00B06470"/>
    <w:rsid w:val="00B14981"/>
    <w:rsid w:val="00B150EA"/>
    <w:rsid w:val="00B3185E"/>
    <w:rsid w:val="00B320AB"/>
    <w:rsid w:val="00B449F0"/>
    <w:rsid w:val="00B47B2C"/>
    <w:rsid w:val="00B60611"/>
    <w:rsid w:val="00B641E3"/>
    <w:rsid w:val="00B705F4"/>
    <w:rsid w:val="00B76E2F"/>
    <w:rsid w:val="00B80CFB"/>
    <w:rsid w:val="00B81AA6"/>
    <w:rsid w:val="00B918EC"/>
    <w:rsid w:val="00B91B9D"/>
    <w:rsid w:val="00BA7208"/>
    <w:rsid w:val="00BB03C9"/>
    <w:rsid w:val="00BB7145"/>
    <w:rsid w:val="00BC7174"/>
    <w:rsid w:val="00BD21D9"/>
    <w:rsid w:val="00BD758F"/>
    <w:rsid w:val="00BD7B99"/>
    <w:rsid w:val="00BE1F82"/>
    <w:rsid w:val="00BF1F32"/>
    <w:rsid w:val="00C065E7"/>
    <w:rsid w:val="00C172AF"/>
    <w:rsid w:val="00C2671B"/>
    <w:rsid w:val="00C3477C"/>
    <w:rsid w:val="00C35295"/>
    <w:rsid w:val="00C404FE"/>
    <w:rsid w:val="00C40EAB"/>
    <w:rsid w:val="00C67F5F"/>
    <w:rsid w:val="00C7429C"/>
    <w:rsid w:val="00C80E5B"/>
    <w:rsid w:val="00C9183E"/>
    <w:rsid w:val="00C94431"/>
    <w:rsid w:val="00CA2FC7"/>
    <w:rsid w:val="00CA55E2"/>
    <w:rsid w:val="00CB2051"/>
    <w:rsid w:val="00CB2680"/>
    <w:rsid w:val="00CC21D4"/>
    <w:rsid w:val="00CD4CD4"/>
    <w:rsid w:val="00CF2C31"/>
    <w:rsid w:val="00D02827"/>
    <w:rsid w:val="00D1184B"/>
    <w:rsid w:val="00D13790"/>
    <w:rsid w:val="00D20EB0"/>
    <w:rsid w:val="00D45B9E"/>
    <w:rsid w:val="00D55A18"/>
    <w:rsid w:val="00D83FD8"/>
    <w:rsid w:val="00D901AF"/>
    <w:rsid w:val="00D914C5"/>
    <w:rsid w:val="00D947BE"/>
    <w:rsid w:val="00DA6439"/>
    <w:rsid w:val="00DB2BEC"/>
    <w:rsid w:val="00DB3E94"/>
    <w:rsid w:val="00DB5D3A"/>
    <w:rsid w:val="00DC66D0"/>
    <w:rsid w:val="00DD0FF7"/>
    <w:rsid w:val="00DD167D"/>
    <w:rsid w:val="00DD62BF"/>
    <w:rsid w:val="00DE0EA9"/>
    <w:rsid w:val="00DE2736"/>
    <w:rsid w:val="00DE2C6C"/>
    <w:rsid w:val="00DF05A4"/>
    <w:rsid w:val="00E1506D"/>
    <w:rsid w:val="00E15856"/>
    <w:rsid w:val="00E2586A"/>
    <w:rsid w:val="00E27398"/>
    <w:rsid w:val="00E31982"/>
    <w:rsid w:val="00E37E57"/>
    <w:rsid w:val="00E540C8"/>
    <w:rsid w:val="00E625F5"/>
    <w:rsid w:val="00E7692E"/>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506"/>
    <w:rsid w:val="00F4490F"/>
    <w:rsid w:val="00F61BA7"/>
    <w:rsid w:val="00F63BF1"/>
    <w:rsid w:val="00F64D3D"/>
    <w:rsid w:val="00F650A6"/>
    <w:rsid w:val="00F7666D"/>
    <w:rsid w:val="00F76E76"/>
    <w:rsid w:val="00F9299C"/>
    <w:rsid w:val="00F94E96"/>
    <w:rsid w:val="00F94F21"/>
    <w:rsid w:val="00F95039"/>
    <w:rsid w:val="00FA2BA2"/>
    <w:rsid w:val="00FB298C"/>
    <w:rsid w:val="00FB3B60"/>
    <w:rsid w:val="00FB5FAB"/>
    <w:rsid w:val="00FD706A"/>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15:docId w15:val="{6EE4A2E9-375E-4E57-A065-003B9C8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2F5B2D545A9A9349728C0BA165F"/>
        <w:category>
          <w:name w:val="General"/>
          <w:gallery w:val="placeholder"/>
        </w:category>
        <w:types>
          <w:type w:val="bbPlcHdr"/>
        </w:types>
        <w:behaviors>
          <w:behavior w:val="content"/>
        </w:behaviors>
        <w:guid w:val="{3C9E8B42-7F00-4A68-9942-54DBF1978D1A}"/>
      </w:docPartPr>
      <w:docPartBody>
        <w:p w:rsidR="00A75EC8" w:rsidRDefault="001240F5">
          <w:pPr>
            <w:pStyle w:val="CC9562F5B2D545A9A9349728C0BA165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5"/>
    <w:rsid w:val="00004916"/>
    <w:rsid w:val="001240F5"/>
    <w:rsid w:val="005661DE"/>
    <w:rsid w:val="00577FF4"/>
    <w:rsid w:val="00A75EC8"/>
    <w:rsid w:val="00B0669C"/>
    <w:rsid w:val="00B4537D"/>
    <w:rsid w:val="00CF6363"/>
    <w:rsid w:val="00D5122B"/>
    <w:rsid w:val="00DA1FAD"/>
    <w:rsid w:val="00DA34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562F5B2D545A9A9349728C0BA165F">
    <w:name w:val="CC9562F5B2D545A9A9349728C0BA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customXml/itemProps2.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3.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Monthly Market Update</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Market Update</dc:title>
  <dc:subject/>
  <dc:creator>Daniel.Stojanovski@cpal.com.au</dc:creator>
  <cp:keywords/>
  <dc:description/>
  <cp:lastModifiedBy>Shellie Fisher</cp:lastModifiedBy>
  <cp:revision>2</cp:revision>
  <dcterms:created xsi:type="dcterms:W3CDTF">2022-07-07T02:15:00Z</dcterms:created>
  <dcterms:modified xsi:type="dcterms:W3CDTF">2022-07-07T02:15:00Z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