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924315" w:displacedByCustomXml="next"/>
    <w:bookmarkStart w:id="1" w:name="_Hlk36461553" w:displacedByCustomXml="next"/>
    <w:bookmarkStart w:id="2" w:name="_Hlk102053648" w:displacedByCustomXml="next"/>
    <w:sdt>
      <w:sdtPr>
        <w:alias w:val="Title"/>
        <w:tag w:val=""/>
        <w:id w:val="-702250857"/>
        <w:placeholder>
          <w:docPart w:val="CC9562F5B2D545A9A9349728C0BA165F"/>
        </w:placeholder>
        <w:dataBinding w:prefixMappings="xmlns:ns0='http://purl.org/dc/elements/1.1/' xmlns:ns1='http://schemas.openxmlformats.org/package/2006/metadata/core-properties' " w:xpath="/ns1:coreProperties[1]/ns0:title[1]" w:storeItemID="{6C3C8BC8-F283-45AE-878A-BAB7291924A1}"/>
        <w:text/>
      </w:sdtPr>
      <w:sdtEndPr/>
      <w:sdtContent>
        <w:p w14:paraId="3E474841" w14:textId="486EA44E" w:rsidR="005D073E" w:rsidRPr="005D073E" w:rsidRDefault="000B65B4" w:rsidP="005D073E">
          <w:pPr>
            <w:pStyle w:val="Title"/>
          </w:pPr>
          <w:r>
            <w:t xml:space="preserve">Monthly </w:t>
          </w:r>
          <w:r w:rsidR="00A472F1">
            <w:t xml:space="preserve">Market </w:t>
          </w:r>
          <w:r>
            <w:t>Update</w:t>
          </w:r>
        </w:p>
      </w:sdtContent>
    </w:sdt>
    <w:p w14:paraId="17D93B6C" w14:textId="4881E171" w:rsidR="00A472F1" w:rsidRPr="00A472F1" w:rsidRDefault="00271C8D" w:rsidP="00587045">
      <w:pPr>
        <w:pStyle w:val="Subtitle"/>
      </w:pPr>
      <w:r>
        <w:t>May</w:t>
      </w:r>
      <w:r w:rsidR="00A472F1">
        <w:t xml:space="preserve"> 202</w:t>
      </w:r>
      <w:r w:rsidR="003327B3">
        <w:t>2</w:t>
      </w:r>
    </w:p>
    <w:p w14:paraId="33FA3A36" w14:textId="77777777" w:rsidR="00A472F1" w:rsidRPr="00C3477C" w:rsidRDefault="00A472F1" w:rsidP="00A472F1">
      <w:pPr>
        <w:pStyle w:val="BodyText"/>
        <w:spacing w:line="300" w:lineRule="auto"/>
        <w:ind w:right="731"/>
        <w:jc w:val="both"/>
        <w:rPr>
          <w:b/>
          <w:bCs/>
          <w:color w:val="1ED2E6" w:themeColor="accent1"/>
          <w:szCs w:val="22"/>
          <w:lang w:val="en-US"/>
        </w:rPr>
      </w:pPr>
      <w:r w:rsidRPr="00C3477C">
        <w:rPr>
          <w:b/>
          <w:bCs/>
          <w:color w:val="1ED2E6" w:themeColor="accent1"/>
        </w:rPr>
        <w:t>How the different asset classes have fared:</w:t>
      </w:r>
    </w:p>
    <w:tbl>
      <w:tblPr>
        <w:tblStyle w:val="CATable"/>
        <w:tblpPr w:leftFromText="180" w:rightFromText="180" w:vertAnchor="text" w:horzAnchor="margin" w:tblpY="616"/>
        <w:tblW w:w="10210" w:type="dxa"/>
        <w:tblLayout w:type="fixed"/>
        <w:tblLook w:val="01E0" w:firstRow="1" w:lastRow="1" w:firstColumn="1" w:lastColumn="1" w:noHBand="0" w:noVBand="0"/>
      </w:tblPr>
      <w:tblGrid>
        <w:gridCol w:w="3402"/>
        <w:gridCol w:w="851"/>
        <w:gridCol w:w="851"/>
        <w:gridCol w:w="851"/>
        <w:gridCol w:w="851"/>
        <w:gridCol w:w="851"/>
        <w:gridCol w:w="851"/>
        <w:gridCol w:w="851"/>
        <w:gridCol w:w="851"/>
      </w:tblGrid>
      <w:tr w:rsidR="00C3477C" w14:paraId="72E6E782" w14:textId="77777777" w:rsidTr="00C3477C">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3402" w:type="dxa"/>
          </w:tcPr>
          <w:p w14:paraId="0AF7AB06" w14:textId="77777777" w:rsidR="00C3477C" w:rsidRPr="0051113D" w:rsidRDefault="00C3477C" w:rsidP="00C3477C">
            <w:pPr>
              <w:pStyle w:val="TableParagraph"/>
              <w:spacing w:before="3"/>
              <w:ind w:right="0"/>
              <w:jc w:val="left"/>
              <w:rPr>
                <w:b/>
                <w:bCs/>
                <w:sz w:val="26"/>
              </w:rPr>
            </w:pPr>
          </w:p>
          <w:p w14:paraId="5A68CF0F" w14:textId="77777777" w:rsidR="00C3477C" w:rsidRPr="0051113D" w:rsidRDefault="00C3477C" w:rsidP="00C3477C">
            <w:pPr>
              <w:pStyle w:val="TableParagraph"/>
              <w:spacing w:before="0"/>
              <w:ind w:left="79" w:right="0"/>
              <w:jc w:val="left"/>
              <w:rPr>
                <w:b/>
                <w:bCs/>
                <w:sz w:val="18"/>
              </w:rPr>
            </w:pPr>
            <w:r w:rsidRPr="0051113D">
              <w:rPr>
                <w:b/>
                <w:bCs/>
                <w:color w:val="FFFFFF"/>
                <w:sz w:val="18"/>
              </w:rPr>
              <w:t>Asset Class</w:t>
            </w:r>
          </w:p>
        </w:tc>
        <w:tc>
          <w:tcPr>
            <w:tcW w:w="851" w:type="dxa"/>
            <w:hideMark/>
          </w:tcPr>
          <w:p w14:paraId="01DC500A" w14:textId="77777777" w:rsidR="00C3477C" w:rsidRPr="0051113D" w:rsidRDefault="00C3477C" w:rsidP="00C3477C">
            <w:pPr>
              <w:pStyle w:val="TableParagraph"/>
              <w:ind w:right="0"/>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10</w:t>
            </w:r>
            <w:r w:rsidRPr="0051113D">
              <w:rPr>
                <w:b/>
                <w:bCs/>
                <w:color w:val="FFFFFF"/>
                <w:spacing w:val="-5"/>
                <w:sz w:val="18"/>
              </w:rPr>
              <w:t xml:space="preserve"> </w:t>
            </w:r>
            <w:proofErr w:type="spellStart"/>
            <w:r w:rsidRPr="0051113D">
              <w:rPr>
                <w:b/>
                <w:bCs/>
                <w:color w:val="FFFFFF"/>
                <w:sz w:val="18"/>
              </w:rPr>
              <w:t>Yr</w:t>
            </w:r>
            <w:proofErr w:type="spellEnd"/>
          </w:p>
          <w:p w14:paraId="7BF73E16" w14:textId="77777777" w:rsidR="00C3477C" w:rsidRPr="0051113D" w:rsidRDefault="00C3477C" w:rsidP="00C3477C">
            <w:pPr>
              <w:pStyle w:val="TableParagraph"/>
              <w:spacing w:before="53"/>
              <w:ind w:right="0"/>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w:t>
            </w:r>
            <w:r w:rsidRPr="0051113D">
              <w:rPr>
                <w:b/>
                <w:bCs/>
                <w:color w:val="FFFFFF"/>
                <w:spacing w:val="-5"/>
                <w:sz w:val="18"/>
              </w:rPr>
              <w:t xml:space="preserve"> </w:t>
            </w:r>
            <w:r w:rsidRPr="0051113D">
              <w:rPr>
                <w:b/>
                <w:bCs/>
                <w:color w:val="FFFFFF"/>
                <w:sz w:val="18"/>
              </w:rPr>
              <w:t>p.a.</w:t>
            </w:r>
          </w:p>
        </w:tc>
        <w:tc>
          <w:tcPr>
            <w:tcW w:w="851" w:type="dxa"/>
            <w:hideMark/>
          </w:tcPr>
          <w:p w14:paraId="5715C383" w14:textId="77777777" w:rsidR="00C3477C" w:rsidRPr="0051113D" w:rsidRDefault="00C3477C" w:rsidP="00C3477C">
            <w:pPr>
              <w:pStyle w:val="TableParagraph"/>
              <w:ind w:left="-12" w:right="61"/>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5</w:t>
            </w:r>
            <w:r w:rsidRPr="0051113D">
              <w:rPr>
                <w:b/>
                <w:bCs/>
                <w:color w:val="FFFFFF"/>
                <w:spacing w:val="-4"/>
                <w:sz w:val="18"/>
              </w:rPr>
              <w:t xml:space="preserve"> </w:t>
            </w:r>
            <w:proofErr w:type="spellStart"/>
            <w:r w:rsidRPr="0051113D">
              <w:rPr>
                <w:b/>
                <w:bCs/>
                <w:color w:val="FFFFFF"/>
                <w:sz w:val="18"/>
              </w:rPr>
              <w:t>Yr</w:t>
            </w:r>
            <w:proofErr w:type="spellEnd"/>
          </w:p>
          <w:p w14:paraId="78FA4A2F" w14:textId="77777777" w:rsidR="00C3477C" w:rsidRPr="0051113D" w:rsidRDefault="00C3477C" w:rsidP="00C3477C">
            <w:pPr>
              <w:pStyle w:val="TableParagraph"/>
              <w:spacing w:before="53"/>
              <w:ind w:right="6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w:t>
            </w:r>
            <w:r w:rsidRPr="0051113D">
              <w:rPr>
                <w:b/>
                <w:bCs/>
                <w:color w:val="FFFFFF"/>
                <w:spacing w:val="-5"/>
                <w:sz w:val="18"/>
              </w:rPr>
              <w:t xml:space="preserve"> </w:t>
            </w:r>
            <w:r w:rsidRPr="0051113D">
              <w:rPr>
                <w:b/>
                <w:bCs/>
                <w:color w:val="FFFFFF"/>
                <w:sz w:val="18"/>
              </w:rPr>
              <w:t>p.a.</w:t>
            </w:r>
          </w:p>
        </w:tc>
        <w:tc>
          <w:tcPr>
            <w:tcW w:w="851" w:type="dxa"/>
            <w:hideMark/>
          </w:tcPr>
          <w:p w14:paraId="34FCE5DC" w14:textId="77777777" w:rsidR="00C3477C" w:rsidRPr="0051113D" w:rsidRDefault="00C3477C" w:rsidP="00C3477C">
            <w:pPr>
              <w:pStyle w:val="TableParagraph"/>
              <w:ind w:left="-1" w:right="6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3</w:t>
            </w:r>
            <w:r w:rsidRPr="0051113D">
              <w:rPr>
                <w:b/>
                <w:bCs/>
                <w:color w:val="FFFFFF"/>
                <w:spacing w:val="-4"/>
                <w:sz w:val="18"/>
              </w:rPr>
              <w:t xml:space="preserve"> </w:t>
            </w:r>
            <w:proofErr w:type="spellStart"/>
            <w:r w:rsidRPr="0051113D">
              <w:rPr>
                <w:b/>
                <w:bCs/>
                <w:color w:val="FFFFFF"/>
                <w:sz w:val="18"/>
              </w:rPr>
              <w:t>Yr</w:t>
            </w:r>
            <w:proofErr w:type="spellEnd"/>
          </w:p>
          <w:p w14:paraId="650AFB44" w14:textId="77777777" w:rsidR="00C3477C" w:rsidRPr="0051113D" w:rsidRDefault="00C3477C" w:rsidP="00C3477C">
            <w:pPr>
              <w:pStyle w:val="TableParagraph"/>
              <w:spacing w:before="53"/>
              <w:ind w:right="6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w:t>
            </w:r>
            <w:r w:rsidRPr="0051113D">
              <w:rPr>
                <w:b/>
                <w:bCs/>
                <w:color w:val="FFFFFF"/>
                <w:spacing w:val="-5"/>
                <w:sz w:val="18"/>
              </w:rPr>
              <w:t xml:space="preserve"> </w:t>
            </w:r>
            <w:r w:rsidRPr="0051113D">
              <w:rPr>
                <w:b/>
                <w:bCs/>
                <w:color w:val="FFFFFF"/>
                <w:sz w:val="18"/>
              </w:rPr>
              <w:t>p.a.</w:t>
            </w:r>
          </w:p>
        </w:tc>
        <w:tc>
          <w:tcPr>
            <w:tcW w:w="851" w:type="dxa"/>
            <w:hideMark/>
          </w:tcPr>
          <w:p w14:paraId="71565171" w14:textId="77777777" w:rsidR="00C3477C" w:rsidRPr="0051113D" w:rsidRDefault="00C3477C" w:rsidP="00C3477C">
            <w:pPr>
              <w:pStyle w:val="TableParagraph"/>
              <w:ind w:left="-6" w:right="6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1</w:t>
            </w:r>
            <w:r w:rsidRPr="0051113D">
              <w:rPr>
                <w:b/>
                <w:bCs/>
                <w:color w:val="FFFFFF"/>
                <w:spacing w:val="-4"/>
                <w:sz w:val="18"/>
              </w:rPr>
              <w:t xml:space="preserve"> </w:t>
            </w:r>
            <w:proofErr w:type="spellStart"/>
            <w:r w:rsidRPr="0051113D">
              <w:rPr>
                <w:b/>
                <w:bCs/>
                <w:color w:val="FFFFFF"/>
                <w:sz w:val="18"/>
              </w:rPr>
              <w:t>Yr</w:t>
            </w:r>
            <w:proofErr w:type="spellEnd"/>
          </w:p>
          <w:p w14:paraId="177F51EA" w14:textId="77777777" w:rsidR="00C3477C" w:rsidRPr="0051113D" w:rsidRDefault="00C3477C" w:rsidP="00C3477C">
            <w:pPr>
              <w:pStyle w:val="TableParagraph"/>
              <w:spacing w:before="53"/>
              <w:ind w:right="6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w:t>
            </w:r>
            <w:r w:rsidRPr="0051113D">
              <w:rPr>
                <w:b/>
                <w:bCs/>
                <w:color w:val="FFFFFF"/>
                <w:spacing w:val="-5"/>
                <w:sz w:val="18"/>
              </w:rPr>
              <w:t xml:space="preserve"> </w:t>
            </w:r>
            <w:r w:rsidRPr="0051113D">
              <w:rPr>
                <w:b/>
                <w:bCs/>
                <w:color w:val="FFFFFF"/>
                <w:sz w:val="18"/>
              </w:rPr>
              <w:t>p.a.</w:t>
            </w:r>
          </w:p>
        </w:tc>
        <w:tc>
          <w:tcPr>
            <w:tcW w:w="851" w:type="dxa"/>
            <w:hideMark/>
          </w:tcPr>
          <w:p w14:paraId="0A764D36" w14:textId="77777777" w:rsidR="00C3477C" w:rsidRPr="0051113D" w:rsidRDefault="00C3477C" w:rsidP="00C3477C">
            <w:pPr>
              <w:pStyle w:val="TableParagraph"/>
              <w:ind w:right="81"/>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YTD</w:t>
            </w:r>
          </w:p>
          <w:p w14:paraId="777CC3DD" w14:textId="77777777" w:rsidR="00C3477C" w:rsidRPr="0051113D" w:rsidRDefault="00C3477C" w:rsidP="00C3477C">
            <w:pPr>
              <w:pStyle w:val="TableParagraph"/>
              <w:spacing w:before="53"/>
              <w:ind w:right="81"/>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w:t>
            </w:r>
          </w:p>
        </w:tc>
        <w:tc>
          <w:tcPr>
            <w:tcW w:w="851" w:type="dxa"/>
            <w:hideMark/>
          </w:tcPr>
          <w:p w14:paraId="0872FEC8" w14:textId="77777777" w:rsidR="00C3477C" w:rsidRPr="0051113D" w:rsidRDefault="00C3477C" w:rsidP="00C3477C">
            <w:pPr>
              <w:pStyle w:val="TableParagraph"/>
              <w:ind w:right="8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 xml:space="preserve">6 </w:t>
            </w:r>
            <w:proofErr w:type="spellStart"/>
            <w:r w:rsidRPr="0051113D">
              <w:rPr>
                <w:b/>
                <w:bCs/>
                <w:color w:val="FFFFFF"/>
                <w:sz w:val="18"/>
              </w:rPr>
              <w:t>Mth</w:t>
            </w:r>
            <w:proofErr w:type="spellEnd"/>
          </w:p>
          <w:p w14:paraId="3EA4FE1F" w14:textId="77777777" w:rsidR="00C3477C" w:rsidRPr="0051113D" w:rsidRDefault="00C3477C" w:rsidP="00C3477C">
            <w:pPr>
              <w:pStyle w:val="TableParagraph"/>
              <w:spacing w:before="53"/>
              <w:ind w:right="8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w:t>
            </w:r>
          </w:p>
        </w:tc>
        <w:tc>
          <w:tcPr>
            <w:tcW w:w="851" w:type="dxa"/>
            <w:hideMark/>
          </w:tcPr>
          <w:p w14:paraId="5AB5BF54" w14:textId="77777777" w:rsidR="00C3477C" w:rsidRPr="0051113D" w:rsidRDefault="00C3477C" w:rsidP="00C3477C">
            <w:pPr>
              <w:pStyle w:val="TableParagraph"/>
              <w:ind w:right="8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 xml:space="preserve">3 </w:t>
            </w:r>
            <w:proofErr w:type="spellStart"/>
            <w:r w:rsidRPr="0051113D">
              <w:rPr>
                <w:b/>
                <w:bCs/>
                <w:color w:val="FFFFFF"/>
                <w:sz w:val="18"/>
              </w:rPr>
              <w:t>Mth</w:t>
            </w:r>
            <w:proofErr w:type="spellEnd"/>
          </w:p>
          <w:p w14:paraId="0979F214" w14:textId="77777777" w:rsidR="00C3477C" w:rsidRPr="0051113D" w:rsidRDefault="00C3477C" w:rsidP="00C3477C">
            <w:pPr>
              <w:pStyle w:val="TableParagraph"/>
              <w:spacing w:before="53"/>
              <w:ind w:right="8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w:t>
            </w:r>
          </w:p>
        </w:tc>
        <w:tc>
          <w:tcPr>
            <w:tcW w:w="851" w:type="dxa"/>
            <w:hideMark/>
          </w:tcPr>
          <w:p w14:paraId="2648A6B5" w14:textId="77777777" w:rsidR="00C3477C" w:rsidRPr="0051113D" w:rsidRDefault="00C3477C" w:rsidP="00C3477C">
            <w:pPr>
              <w:pStyle w:val="TableParagraph"/>
              <w:ind w:right="83"/>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 xml:space="preserve">1 </w:t>
            </w:r>
            <w:proofErr w:type="spellStart"/>
            <w:r w:rsidRPr="0051113D">
              <w:rPr>
                <w:b/>
                <w:bCs/>
                <w:color w:val="FFFFFF"/>
                <w:sz w:val="18"/>
              </w:rPr>
              <w:t>Mth</w:t>
            </w:r>
            <w:proofErr w:type="spellEnd"/>
          </w:p>
          <w:p w14:paraId="4C30457F" w14:textId="77777777" w:rsidR="00C3477C" w:rsidRPr="0051113D" w:rsidRDefault="00C3477C" w:rsidP="00C3477C">
            <w:pPr>
              <w:pStyle w:val="TableParagraph"/>
              <w:spacing w:before="53"/>
              <w:ind w:right="83"/>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w:t>
            </w:r>
          </w:p>
        </w:tc>
      </w:tr>
      <w:tr w:rsidR="00673FDC" w14:paraId="5B1FD51A" w14:textId="77777777" w:rsidTr="00D0173B">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1F4C6648" w14:textId="77777777" w:rsidR="00673FDC" w:rsidRDefault="00673FDC" w:rsidP="00673FDC">
            <w:pPr>
              <w:pStyle w:val="TableParagraph"/>
              <w:tabs>
                <w:tab w:val="right" w:pos="3397"/>
              </w:tabs>
              <w:ind w:left="79" w:right="0"/>
              <w:jc w:val="left"/>
              <w:rPr>
                <w:sz w:val="10"/>
              </w:rPr>
            </w:pPr>
            <w:r>
              <w:rPr>
                <w:sz w:val="18"/>
              </w:rPr>
              <w:t>Cash</w:t>
            </w:r>
            <w:r>
              <w:rPr>
                <w:position w:val="6"/>
                <w:sz w:val="10"/>
              </w:rPr>
              <w:t>1</w:t>
            </w:r>
            <w:r>
              <w:rPr>
                <w:position w:val="6"/>
                <w:sz w:val="10"/>
              </w:rPr>
              <w:tab/>
            </w:r>
          </w:p>
        </w:tc>
        <w:tc>
          <w:tcPr>
            <w:tcW w:w="851" w:type="dxa"/>
            <w:vAlign w:val="bottom"/>
            <w:hideMark/>
          </w:tcPr>
          <w:p w14:paraId="50FC9BF7" w14:textId="75CB85A2"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1.76</w:t>
            </w:r>
          </w:p>
        </w:tc>
        <w:tc>
          <w:tcPr>
            <w:tcW w:w="851" w:type="dxa"/>
            <w:vAlign w:val="bottom"/>
            <w:hideMark/>
          </w:tcPr>
          <w:p w14:paraId="05F83B56" w14:textId="7A2B76BA"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0.97</w:t>
            </w:r>
          </w:p>
        </w:tc>
        <w:tc>
          <w:tcPr>
            <w:tcW w:w="851" w:type="dxa"/>
            <w:vAlign w:val="bottom"/>
            <w:hideMark/>
          </w:tcPr>
          <w:p w14:paraId="1F08F53C" w14:textId="165846E2"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0.36</w:t>
            </w:r>
          </w:p>
        </w:tc>
        <w:tc>
          <w:tcPr>
            <w:tcW w:w="851" w:type="dxa"/>
            <w:vAlign w:val="bottom"/>
            <w:hideMark/>
          </w:tcPr>
          <w:p w14:paraId="35B4D1F8" w14:textId="583703EA"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0.05</w:t>
            </w:r>
          </w:p>
        </w:tc>
        <w:tc>
          <w:tcPr>
            <w:tcW w:w="851" w:type="dxa"/>
            <w:vAlign w:val="bottom"/>
            <w:hideMark/>
          </w:tcPr>
          <w:p w14:paraId="74E7E265" w14:textId="3962C958"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0.03</w:t>
            </w:r>
          </w:p>
        </w:tc>
        <w:tc>
          <w:tcPr>
            <w:tcW w:w="851" w:type="dxa"/>
            <w:vAlign w:val="bottom"/>
            <w:hideMark/>
          </w:tcPr>
          <w:p w14:paraId="7EE52B95" w14:textId="44BDEEF1"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0.04</w:t>
            </w:r>
          </w:p>
        </w:tc>
        <w:tc>
          <w:tcPr>
            <w:tcW w:w="851" w:type="dxa"/>
            <w:vAlign w:val="bottom"/>
            <w:hideMark/>
          </w:tcPr>
          <w:p w14:paraId="38C5ECBD" w14:textId="02B63A67"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0.02</w:t>
            </w:r>
          </w:p>
        </w:tc>
        <w:tc>
          <w:tcPr>
            <w:tcW w:w="851" w:type="dxa"/>
            <w:vAlign w:val="bottom"/>
            <w:hideMark/>
          </w:tcPr>
          <w:p w14:paraId="1C17E102" w14:textId="11EE8025"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0.03</w:t>
            </w:r>
          </w:p>
        </w:tc>
      </w:tr>
      <w:tr w:rsidR="00673FDC" w14:paraId="2762942B" w14:textId="77777777" w:rsidTr="00D0173B">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6F3F3C4E" w14:textId="77777777" w:rsidR="00673FDC" w:rsidRDefault="00673FDC" w:rsidP="00673FDC">
            <w:pPr>
              <w:pStyle w:val="TableParagraph"/>
              <w:ind w:left="79" w:right="0"/>
              <w:jc w:val="left"/>
              <w:rPr>
                <w:sz w:val="10"/>
              </w:rPr>
            </w:pPr>
            <w:r>
              <w:rPr>
                <w:sz w:val="18"/>
              </w:rPr>
              <w:t>Australian Bonds</w:t>
            </w:r>
            <w:r>
              <w:rPr>
                <w:position w:val="6"/>
                <w:sz w:val="10"/>
              </w:rPr>
              <w:t>2</w:t>
            </w:r>
          </w:p>
        </w:tc>
        <w:tc>
          <w:tcPr>
            <w:tcW w:w="851" w:type="dxa"/>
            <w:vAlign w:val="bottom"/>
            <w:hideMark/>
          </w:tcPr>
          <w:p w14:paraId="67F971D2" w14:textId="4EC9EEEA"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2.72</w:t>
            </w:r>
          </w:p>
        </w:tc>
        <w:tc>
          <w:tcPr>
            <w:tcW w:w="851" w:type="dxa"/>
            <w:vAlign w:val="bottom"/>
            <w:hideMark/>
          </w:tcPr>
          <w:p w14:paraId="67907E4C" w14:textId="1AE3DE65"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0.99</w:t>
            </w:r>
          </w:p>
        </w:tc>
        <w:tc>
          <w:tcPr>
            <w:tcW w:w="851" w:type="dxa"/>
            <w:vAlign w:val="bottom"/>
            <w:hideMark/>
          </w:tcPr>
          <w:p w14:paraId="2D4A10DD" w14:textId="12DF8B79"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-1.76</w:t>
            </w:r>
          </w:p>
        </w:tc>
        <w:tc>
          <w:tcPr>
            <w:tcW w:w="851" w:type="dxa"/>
            <w:vAlign w:val="bottom"/>
            <w:hideMark/>
          </w:tcPr>
          <w:p w14:paraId="0D75AD4E" w14:textId="1A68089C"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-8.54</w:t>
            </w:r>
          </w:p>
        </w:tc>
        <w:tc>
          <w:tcPr>
            <w:tcW w:w="851" w:type="dxa"/>
            <w:vAlign w:val="bottom"/>
            <w:hideMark/>
          </w:tcPr>
          <w:p w14:paraId="76863398" w14:textId="54E9E1E5"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-8.10</w:t>
            </w:r>
          </w:p>
        </w:tc>
        <w:tc>
          <w:tcPr>
            <w:tcW w:w="851" w:type="dxa"/>
            <w:vAlign w:val="bottom"/>
            <w:hideMark/>
          </w:tcPr>
          <w:p w14:paraId="15763925" w14:textId="3564BDA2"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-8.02</w:t>
            </w:r>
          </w:p>
        </w:tc>
        <w:tc>
          <w:tcPr>
            <w:tcW w:w="851" w:type="dxa"/>
            <w:vAlign w:val="bottom"/>
            <w:hideMark/>
          </w:tcPr>
          <w:p w14:paraId="737AFBB5" w14:textId="48FCBD5C"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-6.02</w:t>
            </w:r>
          </w:p>
        </w:tc>
        <w:tc>
          <w:tcPr>
            <w:tcW w:w="851" w:type="dxa"/>
            <w:vAlign w:val="bottom"/>
            <w:hideMark/>
          </w:tcPr>
          <w:p w14:paraId="50174298" w14:textId="52BB6352"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-0.89</w:t>
            </w:r>
          </w:p>
        </w:tc>
      </w:tr>
      <w:tr w:rsidR="00673FDC" w14:paraId="1FB707BD" w14:textId="77777777" w:rsidTr="00D0173B">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0BDAEC06" w14:textId="77777777" w:rsidR="00673FDC" w:rsidRDefault="00673FDC" w:rsidP="00673FDC">
            <w:pPr>
              <w:pStyle w:val="TableParagraph"/>
              <w:ind w:left="79" w:right="0"/>
              <w:jc w:val="left"/>
              <w:rPr>
                <w:sz w:val="10"/>
              </w:rPr>
            </w:pPr>
            <w:r>
              <w:rPr>
                <w:sz w:val="18"/>
              </w:rPr>
              <w:t>International Bonds</w:t>
            </w:r>
            <w:r>
              <w:rPr>
                <w:position w:val="6"/>
                <w:sz w:val="10"/>
              </w:rPr>
              <w:t>3</w:t>
            </w:r>
          </w:p>
        </w:tc>
        <w:tc>
          <w:tcPr>
            <w:tcW w:w="851" w:type="dxa"/>
            <w:vAlign w:val="bottom"/>
            <w:hideMark/>
          </w:tcPr>
          <w:p w14:paraId="689D50B5" w14:textId="578B315A"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3.47</w:t>
            </w:r>
          </w:p>
        </w:tc>
        <w:tc>
          <w:tcPr>
            <w:tcW w:w="851" w:type="dxa"/>
            <w:vAlign w:val="bottom"/>
            <w:hideMark/>
          </w:tcPr>
          <w:p w14:paraId="762E283C" w14:textId="6A9C940F"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1.24</w:t>
            </w:r>
          </w:p>
        </w:tc>
        <w:tc>
          <w:tcPr>
            <w:tcW w:w="851" w:type="dxa"/>
            <w:vAlign w:val="bottom"/>
            <w:hideMark/>
          </w:tcPr>
          <w:p w14:paraId="63CA88FF" w14:textId="6D382F99"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-0.14</w:t>
            </w:r>
          </w:p>
        </w:tc>
        <w:tc>
          <w:tcPr>
            <w:tcW w:w="851" w:type="dxa"/>
            <w:vAlign w:val="bottom"/>
            <w:hideMark/>
          </w:tcPr>
          <w:p w14:paraId="6BF67A92" w14:textId="14A12589"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-7.00</w:t>
            </w:r>
          </w:p>
        </w:tc>
        <w:tc>
          <w:tcPr>
            <w:tcW w:w="851" w:type="dxa"/>
            <w:vAlign w:val="bottom"/>
            <w:hideMark/>
          </w:tcPr>
          <w:p w14:paraId="69C92E5E" w14:textId="2ABEDEB1"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-7.72</w:t>
            </w:r>
          </w:p>
        </w:tc>
        <w:tc>
          <w:tcPr>
            <w:tcW w:w="851" w:type="dxa"/>
            <w:vAlign w:val="bottom"/>
            <w:hideMark/>
          </w:tcPr>
          <w:p w14:paraId="6604CBC0" w14:textId="672F80A0"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-7.45</w:t>
            </w:r>
          </w:p>
        </w:tc>
        <w:tc>
          <w:tcPr>
            <w:tcW w:w="851" w:type="dxa"/>
            <w:vAlign w:val="bottom"/>
            <w:hideMark/>
          </w:tcPr>
          <w:p w14:paraId="61096B66" w14:textId="08DD4C4C"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-6.18</w:t>
            </w:r>
          </w:p>
        </w:tc>
        <w:tc>
          <w:tcPr>
            <w:tcW w:w="851" w:type="dxa"/>
            <w:vAlign w:val="bottom"/>
            <w:hideMark/>
          </w:tcPr>
          <w:p w14:paraId="416A226A" w14:textId="113F62DB"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-2.88</w:t>
            </w:r>
          </w:p>
        </w:tc>
      </w:tr>
      <w:tr w:rsidR="00673FDC" w14:paraId="374DFB83" w14:textId="77777777" w:rsidTr="00D0173B">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4BB09F39" w14:textId="77777777" w:rsidR="00673FDC" w:rsidRDefault="00673FDC" w:rsidP="00673FDC">
            <w:pPr>
              <w:pStyle w:val="TableParagraph"/>
              <w:ind w:left="79" w:right="0"/>
              <w:jc w:val="left"/>
              <w:rPr>
                <w:sz w:val="10"/>
              </w:rPr>
            </w:pPr>
            <w:r>
              <w:rPr>
                <w:sz w:val="18"/>
              </w:rPr>
              <w:t>Australian Shares</w:t>
            </w:r>
            <w:r>
              <w:rPr>
                <w:position w:val="6"/>
                <w:sz w:val="10"/>
              </w:rPr>
              <w:t>4</w:t>
            </w:r>
          </w:p>
        </w:tc>
        <w:tc>
          <w:tcPr>
            <w:tcW w:w="851" w:type="dxa"/>
            <w:vAlign w:val="bottom"/>
            <w:hideMark/>
          </w:tcPr>
          <w:p w14:paraId="51D92513" w14:textId="333C4DDF"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10.46</w:t>
            </w:r>
          </w:p>
        </w:tc>
        <w:tc>
          <w:tcPr>
            <w:tcW w:w="851" w:type="dxa"/>
            <w:vAlign w:val="bottom"/>
            <w:hideMark/>
          </w:tcPr>
          <w:p w14:paraId="12701BCD" w14:textId="07859111"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9.34</w:t>
            </w:r>
          </w:p>
        </w:tc>
        <w:tc>
          <w:tcPr>
            <w:tcW w:w="851" w:type="dxa"/>
            <w:vAlign w:val="bottom"/>
            <w:hideMark/>
          </w:tcPr>
          <w:p w14:paraId="71E74F67" w14:textId="65321D22"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8.48</w:t>
            </w:r>
          </w:p>
        </w:tc>
        <w:tc>
          <w:tcPr>
            <w:tcW w:w="851" w:type="dxa"/>
            <w:vAlign w:val="bottom"/>
            <w:hideMark/>
          </w:tcPr>
          <w:p w14:paraId="51DE0AA4" w14:textId="32F60513"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4.73</w:t>
            </w:r>
          </w:p>
        </w:tc>
        <w:tc>
          <w:tcPr>
            <w:tcW w:w="851" w:type="dxa"/>
            <w:vAlign w:val="bottom"/>
            <w:hideMark/>
          </w:tcPr>
          <w:p w14:paraId="4E4B28E4" w14:textId="236BE9F9"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-2.36</w:t>
            </w:r>
          </w:p>
        </w:tc>
        <w:tc>
          <w:tcPr>
            <w:tcW w:w="851" w:type="dxa"/>
            <w:vAlign w:val="bottom"/>
            <w:hideMark/>
          </w:tcPr>
          <w:p w14:paraId="346CA193" w14:textId="3F833156"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0.25</w:t>
            </w:r>
          </w:p>
        </w:tc>
        <w:tc>
          <w:tcPr>
            <w:tcW w:w="851" w:type="dxa"/>
            <w:vAlign w:val="bottom"/>
            <w:hideMark/>
          </w:tcPr>
          <w:p w14:paraId="467F49B6" w14:textId="0AD1B9E5"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2.72</w:t>
            </w:r>
          </w:p>
        </w:tc>
        <w:tc>
          <w:tcPr>
            <w:tcW w:w="851" w:type="dxa"/>
            <w:vAlign w:val="bottom"/>
            <w:hideMark/>
          </w:tcPr>
          <w:p w14:paraId="1C3BA5A2" w14:textId="516862EA"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-3.13</w:t>
            </w:r>
          </w:p>
        </w:tc>
      </w:tr>
      <w:tr w:rsidR="00673FDC" w14:paraId="11D9526B" w14:textId="77777777" w:rsidTr="00D0173B">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45B6AB41" w14:textId="77777777" w:rsidR="00673FDC" w:rsidRDefault="00673FDC" w:rsidP="00673FDC">
            <w:pPr>
              <w:pStyle w:val="TableParagraph"/>
              <w:ind w:left="79" w:right="0"/>
              <w:jc w:val="left"/>
              <w:rPr>
                <w:sz w:val="10"/>
              </w:rPr>
            </w:pPr>
            <w:r>
              <w:rPr>
                <w:sz w:val="18"/>
              </w:rPr>
              <w:t>Int. Shares Unhedged</w:t>
            </w:r>
            <w:r>
              <w:rPr>
                <w:position w:val="6"/>
                <w:sz w:val="10"/>
              </w:rPr>
              <w:t>5</w:t>
            </w:r>
          </w:p>
        </w:tc>
        <w:tc>
          <w:tcPr>
            <w:tcW w:w="851" w:type="dxa"/>
            <w:vAlign w:val="bottom"/>
            <w:hideMark/>
          </w:tcPr>
          <w:p w14:paraId="0BD4AE37" w14:textId="30475A06"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14.57</w:t>
            </w:r>
          </w:p>
        </w:tc>
        <w:tc>
          <w:tcPr>
            <w:tcW w:w="851" w:type="dxa"/>
            <w:vAlign w:val="bottom"/>
            <w:hideMark/>
          </w:tcPr>
          <w:p w14:paraId="792C2009" w14:textId="3451C382"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11.45</w:t>
            </w:r>
          </w:p>
        </w:tc>
        <w:tc>
          <w:tcPr>
            <w:tcW w:w="851" w:type="dxa"/>
            <w:vAlign w:val="bottom"/>
            <w:hideMark/>
          </w:tcPr>
          <w:p w14:paraId="2CD5F1FB" w14:textId="2E8FF121"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10.12</w:t>
            </w:r>
          </w:p>
        </w:tc>
        <w:tc>
          <w:tcPr>
            <w:tcW w:w="851" w:type="dxa"/>
            <w:vAlign w:val="bottom"/>
            <w:hideMark/>
          </w:tcPr>
          <w:p w14:paraId="26B0F5A3" w14:textId="33D3FB6F"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4.70</w:t>
            </w:r>
          </w:p>
        </w:tc>
        <w:tc>
          <w:tcPr>
            <w:tcW w:w="851" w:type="dxa"/>
            <w:vAlign w:val="bottom"/>
            <w:hideMark/>
          </w:tcPr>
          <w:p w14:paraId="6DCC44AE" w14:textId="4CD63195"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-11.35</w:t>
            </w:r>
          </w:p>
        </w:tc>
        <w:tc>
          <w:tcPr>
            <w:tcW w:w="851" w:type="dxa"/>
            <w:vAlign w:val="bottom"/>
            <w:hideMark/>
          </w:tcPr>
          <w:p w14:paraId="5073B894" w14:textId="374573A5"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-6.52</w:t>
            </w:r>
          </w:p>
        </w:tc>
        <w:tc>
          <w:tcPr>
            <w:tcW w:w="851" w:type="dxa"/>
            <w:vAlign w:val="bottom"/>
            <w:hideMark/>
          </w:tcPr>
          <w:p w14:paraId="027CD8DD" w14:textId="7FFB2B66"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-9.31</w:t>
            </w:r>
          </w:p>
        </w:tc>
        <w:tc>
          <w:tcPr>
            <w:tcW w:w="851" w:type="dxa"/>
            <w:vAlign w:val="bottom"/>
            <w:hideMark/>
          </w:tcPr>
          <w:p w14:paraId="0A985AA0" w14:textId="27B0F784"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-3.23</w:t>
            </w:r>
          </w:p>
        </w:tc>
      </w:tr>
      <w:tr w:rsidR="00673FDC" w14:paraId="51AF17FA" w14:textId="77777777" w:rsidTr="00D0173B">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593B965F" w14:textId="77777777" w:rsidR="00673FDC" w:rsidRDefault="00673FDC" w:rsidP="00673FDC">
            <w:pPr>
              <w:pStyle w:val="TableParagraph"/>
              <w:ind w:left="79" w:right="0"/>
              <w:jc w:val="left"/>
              <w:rPr>
                <w:sz w:val="10"/>
              </w:rPr>
            </w:pPr>
            <w:r>
              <w:rPr>
                <w:sz w:val="18"/>
              </w:rPr>
              <w:t>Int. Shares Hedged</w:t>
            </w:r>
            <w:r>
              <w:rPr>
                <w:position w:val="6"/>
                <w:sz w:val="10"/>
              </w:rPr>
              <w:t>6</w:t>
            </w:r>
          </w:p>
        </w:tc>
        <w:tc>
          <w:tcPr>
            <w:tcW w:w="851" w:type="dxa"/>
            <w:vAlign w:val="bottom"/>
            <w:hideMark/>
          </w:tcPr>
          <w:p w14:paraId="5E049E5A" w14:textId="674CC883"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12.04</w:t>
            </w:r>
          </w:p>
        </w:tc>
        <w:tc>
          <w:tcPr>
            <w:tcW w:w="851" w:type="dxa"/>
            <w:vAlign w:val="bottom"/>
            <w:hideMark/>
          </w:tcPr>
          <w:p w14:paraId="723BD123" w14:textId="4C78D4FC"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9.69</w:t>
            </w:r>
          </w:p>
        </w:tc>
        <w:tc>
          <w:tcPr>
            <w:tcW w:w="851" w:type="dxa"/>
            <w:vAlign w:val="bottom"/>
            <w:hideMark/>
          </w:tcPr>
          <w:p w14:paraId="7BD321E0" w14:textId="6B20C548"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9.38</w:t>
            </w:r>
          </w:p>
        </w:tc>
        <w:tc>
          <w:tcPr>
            <w:tcW w:w="851" w:type="dxa"/>
            <w:vAlign w:val="bottom"/>
            <w:hideMark/>
          </w:tcPr>
          <w:p w14:paraId="6DC77972" w14:textId="412C2985"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-1.37</w:t>
            </w:r>
          </w:p>
        </w:tc>
        <w:tc>
          <w:tcPr>
            <w:tcW w:w="851" w:type="dxa"/>
            <w:vAlign w:val="bottom"/>
            <w:hideMark/>
          </w:tcPr>
          <w:p w14:paraId="188AF9FC" w14:textId="3123C320"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-12.09</w:t>
            </w:r>
          </w:p>
        </w:tc>
        <w:tc>
          <w:tcPr>
            <w:tcW w:w="851" w:type="dxa"/>
            <w:vAlign w:val="bottom"/>
            <w:hideMark/>
          </w:tcPr>
          <w:p w14:paraId="26A4FDDB" w14:textId="07B796EA"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-10.02</w:t>
            </w:r>
          </w:p>
        </w:tc>
        <w:tc>
          <w:tcPr>
            <w:tcW w:w="851" w:type="dxa"/>
            <w:vAlign w:val="bottom"/>
            <w:hideMark/>
          </w:tcPr>
          <w:p w14:paraId="22AB9513" w14:textId="1748EBA4"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-7.42</w:t>
            </w:r>
          </w:p>
        </w:tc>
        <w:tc>
          <w:tcPr>
            <w:tcW w:w="851" w:type="dxa"/>
            <w:vAlign w:val="bottom"/>
            <w:hideMark/>
          </w:tcPr>
          <w:p w14:paraId="2B82BD90" w14:textId="75A37912"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-7.50</w:t>
            </w:r>
          </w:p>
        </w:tc>
      </w:tr>
      <w:tr w:rsidR="00673FDC" w14:paraId="326CDE2E" w14:textId="77777777" w:rsidTr="00D0173B">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4537A36B" w14:textId="77777777" w:rsidR="00673FDC" w:rsidRDefault="00673FDC" w:rsidP="00673FDC">
            <w:pPr>
              <w:pStyle w:val="TableParagraph"/>
              <w:ind w:left="79" w:right="0"/>
              <w:jc w:val="left"/>
              <w:rPr>
                <w:sz w:val="10"/>
              </w:rPr>
            </w:pPr>
            <w:r>
              <w:rPr>
                <w:sz w:val="18"/>
              </w:rPr>
              <w:t>Emerging Markets Unhedged</w:t>
            </w:r>
            <w:r>
              <w:rPr>
                <w:position w:val="6"/>
                <w:sz w:val="10"/>
              </w:rPr>
              <w:t>7</w:t>
            </w:r>
          </w:p>
        </w:tc>
        <w:tc>
          <w:tcPr>
            <w:tcW w:w="851" w:type="dxa"/>
            <w:vAlign w:val="bottom"/>
            <w:hideMark/>
          </w:tcPr>
          <w:p w14:paraId="0285124C" w14:textId="17122BB4"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6.46</w:t>
            </w:r>
          </w:p>
        </w:tc>
        <w:tc>
          <w:tcPr>
            <w:tcW w:w="851" w:type="dxa"/>
            <w:vAlign w:val="bottom"/>
            <w:hideMark/>
          </w:tcPr>
          <w:p w14:paraId="461B9998" w14:textId="7B0AD3D2"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4.84</w:t>
            </w:r>
          </w:p>
        </w:tc>
        <w:tc>
          <w:tcPr>
            <w:tcW w:w="851" w:type="dxa"/>
            <w:vAlign w:val="bottom"/>
            <w:hideMark/>
          </w:tcPr>
          <w:p w14:paraId="2BE0279A" w14:textId="1B524B75"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1.36</w:t>
            </w:r>
          </w:p>
        </w:tc>
        <w:tc>
          <w:tcPr>
            <w:tcW w:w="851" w:type="dxa"/>
            <w:vAlign w:val="bottom"/>
            <w:hideMark/>
          </w:tcPr>
          <w:p w14:paraId="515BFF15" w14:textId="1B19EA4C"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-11.80</w:t>
            </w:r>
          </w:p>
        </w:tc>
        <w:tc>
          <w:tcPr>
            <w:tcW w:w="851" w:type="dxa"/>
            <w:vAlign w:val="bottom"/>
            <w:hideMark/>
          </w:tcPr>
          <w:p w14:paraId="5155B50D" w14:textId="0A1ADBB4"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-9.77</w:t>
            </w:r>
          </w:p>
        </w:tc>
        <w:tc>
          <w:tcPr>
            <w:tcW w:w="851" w:type="dxa"/>
            <w:vAlign w:val="bottom"/>
            <w:hideMark/>
          </w:tcPr>
          <w:p w14:paraId="600F8731" w14:textId="05D00F36"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-9.42</w:t>
            </w:r>
          </w:p>
        </w:tc>
        <w:tc>
          <w:tcPr>
            <w:tcW w:w="851" w:type="dxa"/>
            <w:vAlign w:val="bottom"/>
            <w:hideMark/>
          </w:tcPr>
          <w:p w14:paraId="4EC249FA" w14:textId="61FE699B"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-10.69</w:t>
            </w:r>
          </w:p>
        </w:tc>
        <w:tc>
          <w:tcPr>
            <w:tcW w:w="851" w:type="dxa"/>
            <w:vAlign w:val="bottom"/>
            <w:hideMark/>
          </w:tcPr>
          <w:p w14:paraId="0E9CDA3C" w14:textId="72CC1A87"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-0.26</w:t>
            </w:r>
          </w:p>
        </w:tc>
      </w:tr>
      <w:tr w:rsidR="00673FDC" w14:paraId="0638DEBE" w14:textId="77777777" w:rsidTr="00D0173B">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15944EE6" w14:textId="77777777" w:rsidR="00673FDC" w:rsidRDefault="00673FDC" w:rsidP="00673FDC">
            <w:pPr>
              <w:pStyle w:val="TableParagraph"/>
              <w:ind w:left="79" w:right="0"/>
              <w:jc w:val="left"/>
              <w:rPr>
                <w:sz w:val="10"/>
              </w:rPr>
            </w:pPr>
            <w:r>
              <w:rPr>
                <w:sz w:val="18"/>
              </w:rPr>
              <w:t>Listed Infrastructure Unhedged</w:t>
            </w:r>
            <w:r>
              <w:rPr>
                <w:position w:val="6"/>
                <w:sz w:val="10"/>
              </w:rPr>
              <w:t>8</w:t>
            </w:r>
          </w:p>
        </w:tc>
        <w:tc>
          <w:tcPr>
            <w:tcW w:w="851" w:type="dxa"/>
            <w:vAlign w:val="bottom"/>
            <w:hideMark/>
          </w:tcPr>
          <w:p w14:paraId="75A38C44" w14:textId="19B0FA6A"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12.79</w:t>
            </w:r>
          </w:p>
        </w:tc>
        <w:tc>
          <w:tcPr>
            <w:tcW w:w="851" w:type="dxa"/>
            <w:vAlign w:val="bottom"/>
            <w:hideMark/>
          </w:tcPr>
          <w:p w14:paraId="1E490E2E" w14:textId="1174AF77"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7.79</w:t>
            </w:r>
          </w:p>
        </w:tc>
        <w:tc>
          <w:tcPr>
            <w:tcW w:w="851" w:type="dxa"/>
            <w:vAlign w:val="bottom"/>
            <w:hideMark/>
          </w:tcPr>
          <w:p w14:paraId="73B1CFC0" w14:textId="6B113FF6"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6.36</w:t>
            </w:r>
          </w:p>
        </w:tc>
        <w:tc>
          <w:tcPr>
            <w:tcW w:w="851" w:type="dxa"/>
            <w:vAlign w:val="bottom"/>
            <w:hideMark/>
          </w:tcPr>
          <w:p w14:paraId="077BFF2D" w14:textId="3040D108"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18.09</w:t>
            </w:r>
          </w:p>
        </w:tc>
        <w:tc>
          <w:tcPr>
            <w:tcW w:w="851" w:type="dxa"/>
            <w:vAlign w:val="bottom"/>
            <w:hideMark/>
          </w:tcPr>
          <w:p w14:paraId="3AF90FBB" w14:textId="2EE42117"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3.94</w:t>
            </w:r>
          </w:p>
        </w:tc>
        <w:tc>
          <w:tcPr>
            <w:tcW w:w="851" w:type="dxa"/>
            <w:vAlign w:val="bottom"/>
            <w:hideMark/>
          </w:tcPr>
          <w:p w14:paraId="7FDD3D1D" w14:textId="3489D9F4"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9.05</w:t>
            </w:r>
          </w:p>
        </w:tc>
        <w:tc>
          <w:tcPr>
            <w:tcW w:w="851" w:type="dxa"/>
            <w:vAlign w:val="bottom"/>
            <w:hideMark/>
          </w:tcPr>
          <w:p w14:paraId="657E8CFA" w14:textId="3D33DAE2"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7.75</w:t>
            </w:r>
          </w:p>
        </w:tc>
        <w:tc>
          <w:tcPr>
            <w:tcW w:w="851" w:type="dxa"/>
            <w:vAlign w:val="bottom"/>
            <w:hideMark/>
          </w:tcPr>
          <w:p w14:paraId="42F32E02" w14:textId="680DEC53"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1.59</w:t>
            </w:r>
          </w:p>
        </w:tc>
      </w:tr>
      <w:tr w:rsidR="00673FDC" w14:paraId="713C7A7C" w14:textId="77777777" w:rsidTr="00D0173B">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4EC5D499" w14:textId="77777777" w:rsidR="00673FDC" w:rsidRDefault="00673FDC" w:rsidP="00673FDC">
            <w:pPr>
              <w:pStyle w:val="TableParagraph"/>
              <w:ind w:left="79" w:right="0"/>
              <w:jc w:val="left"/>
              <w:rPr>
                <w:sz w:val="10"/>
              </w:rPr>
            </w:pPr>
            <w:r>
              <w:rPr>
                <w:sz w:val="18"/>
              </w:rPr>
              <w:t>Australian Listed Property</w:t>
            </w:r>
            <w:r>
              <w:rPr>
                <w:position w:val="6"/>
                <w:sz w:val="10"/>
              </w:rPr>
              <w:t>9</w:t>
            </w:r>
          </w:p>
        </w:tc>
        <w:tc>
          <w:tcPr>
            <w:tcW w:w="851" w:type="dxa"/>
            <w:vAlign w:val="bottom"/>
            <w:hideMark/>
          </w:tcPr>
          <w:p w14:paraId="1679C68E" w14:textId="42D5ADC6"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11.18</w:t>
            </w:r>
          </w:p>
        </w:tc>
        <w:tc>
          <w:tcPr>
            <w:tcW w:w="851" w:type="dxa"/>
            <w:vAlign w:val="bottom"/>
            <w:hideMark/>
          </w:tcPr>
          <w:p w14:paraId="58C2E850" w14:textId="1518116B"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6.30</w:t>
            </w:r>
          </w:p>
        </w:tc>
        <w:tc>
          <w:tcPr>
            <w:tcW w:w="851" w:type="dxa"/>
            <w:vAlign w:val="bottom"/>
            <w:hideMark/>
          </w:tcPr>
          <w:p w14:paraId="48571DC7" w14:textId="3A6F1DD1"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3.09</w:t>
            </w:r>
          </w:p>
        </w:tc>
        <w:tc>
          <w:tcPr>
            <w:tcW w:w="851" w:type="dxa"/>
            <w:vAlign w:val="bottom"/>
            <w:hideMark/>
          </w:tcPr>
          <w:p w14:paraId="511E3787" w14:textId="14F997FB"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4.58</w:t>
            </w:r>
          </w:p>
        </w:tc>
        <w:tc>
          <w:tcPr>
            <w:tcW w:w="851" w:type="dxa"/>
            <w:vAlign w:val="bottom"/>
            <w:hideMark/>
          </w:tcPr>
          <w:p w14:paraId="0F4526E3" w14:textId="5D015E8F"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-14.11</w:t>
            </w:r>
          </w:p>
        </w:tc>
        <w:tc>
          <w:tcPr>
            <w:tcW w:w="851" w:type="dxa"/>
            <w:vAlign w:val="bottom"/>
            <w:hideMark/>
          </w:tcPr>
          <w:p w14:paraId="6AF19B11" w14:textId="3C6FF8B4"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-9.61</w:t>
            </w:r>
          </w:p>
        </w:tc>
        <w:tc>
          <w:tcPr>
            <w:tcW w:w="851" w:type="dxa"/>
            <w:vAlign w:val="bottom"/>
            <w:hideMark/>
          </w:tcPr>
          <w:p w14:paraId="51D6DBC1" w14:textId="07F24755"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-6.59</w:t>
            </w:r>
          </w:p>
        </w:tc>
        <w:tc>
          <w:tcPr>
            <w:tcW w:w="851" w:type="dxa"/>
            <w:vAlign w:val="bottom"/>
            <w:hideMark/>
          </w:tcPr>
          <w:p w14:paraId="3AB94944" w14:textId="5096CCF8" w:rsidR="00673FDC" w:rsidRPr="00D83FD8" w:rsidRDefault="00673FDC" w:rsidP="00673FDC">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73FDC">
              <w:rPr>
                <w:sz w:val="18"/>
              </w:rPr>
              <w:t>-8.55</w:t>
            </w:r>
          </w:p>
        </w:tc>
      </w:tr>
      <w:tr w:rsidR="00673FDC" w14:paraId="73434EEB" w14:textId="77777777" w:rsidTr="00D0173B">
        <w:trPr>
          <w:cnfStyle w:val="010000000000" w:firstRow="0" w:lastRow="1"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3833DD82" w14:textId="4491A48E" w:rsidR="00673FDC" w:rsidRPr="00C3477C" w:rsidRDefault="00673FDC" w:rsidP="00673FDC">
            <w:pPr>
              <w:pStyle w:val="TableParagraph"/>
              <w:ind w:left="79" w:right="0"/>
              <w:jc w:val="left"/>
              <w:rPr>
                <w:b w:val="0"/>
                <w:bCs/>
                <w:sz w:val="10"/>
              </w:rPr>
            </w:pPr>
            <w:r w:rsidRPr="00C3477C">
              <w:rPr>
                <w:b w:val="0"/>
                <w:bCs/>
                <w:sz w:val="18"/>
              </w:rPr>
              <w:t>Int. Listed P</w:t>
            </w:r>
            <w:r>
              <w:rPr>
                <w:b w:val="0"/>
                <w:bCs/>
                <w:sz w:val="18"/>
              </w:rPr>
              <w:t>roper</w:t>
            </w:r>
            <w:r w:rsidRPr="00C3477C">
              <w:rPr>
                <w:b w:val="0"/>
                <w:bCs/>
                <w:sz w:val="18"/>
              </w:rPr>
              <w:t>ty Unhedged</w:t>
            </w:r>
            <w:r w:rsidRPr="00C3477C">
              <w:rPr>
                <w:b w:val="0"/>
                <w:bCs/>
                <w:position w:val="6"/>
                <w:sz w:val="10"/>
              </w:rPr>
              <w:t>10</w:t>
            </w:r>
          </w:p>
        </w:tc>
        <w:tc>
          <w:tcPr>
            <w:tcW w:w="851" w:type="dxa"/>
            <w:vAlign w:val="bottom"/>
            <w:hideMark/>
          </w:tcPr>
          <w:p w14:paraId="38C5A4CF" w14:textId="384E5FCE" w:rsidR="00673FDC" w:rsidRPr="00D83FD8" w:rsidRDefault="00673FDC" w:rsidP="00673FDC">
            <w:pPr>
              <w:pStyle w:val="TableParagraph"/>
              <w:ind w:left="79" w:right="0"/>
              <w:jc w:val="left"/>
              <w:cnfStyle w:val="010000000000" w:firstRow="0" w:lastRow="1" w:firstColumn="0" w:lastColumn="0" w:oddVBand="0" w:evenVBand="0" w:oddHBand="0" w:evenHBand="0" w:firstRowFirstColumn="0" w:firstRowLastColumn="0" w:lastRowFirstColumn="0" w:lastRowLastColumn="0"/>
              <w:rPr>
                <w:b w:val="0"/>
                <w:sz w:val="18"/>
              </w:rPr>
            </w:pPr>
            <w:r w:rsidRPr="00673FDC">
              <w:rPr>
                <w:b w:val="0"/>
                <w:sz w:val="18"/>
              </w:rPr>
              <w:t>9.55</w:t>
            </w:r>
          </w:p>
        </w:tc>
        <w:tc>
          <w:tcPr>
            <w:tcW w:w="851" w:type="dxa"/>
            <w:vAlign w:val="bottom"/>
            <w:hideMark/>
          </w:tcPr>
          <w:p w14:paraId="11507836" w14:textId="6B855C30" w:rsidR="00673FDC" w:rsidRPr="00D83FD8" w:rsidRDefault="00673FDC" w:rsidP="00673FDC">
            <w:pPr>
              <w:pStyle w:val="TableParagraph"/>
              <w:ind w:left="79" w:right="0"/>
              <w:jc w:val="left"/>
              <w:cnfStyle w:val="010000000000" w:firstRow="0" w:lastRow="1" w:firstColumn="0" w:lastColumn="0" w:oddVBand="0" w:evenVBand="0" w:oddHBand="0" w:evenHBand="0" w:firstRowFirstColumn="0" w:firstRowLastColumn="0" w:lastRowFirstColumn="0" w:lastRowLastColumn="0"/>
              <w:rPr>
                <w:b w:val="0"/>
                <w:sz w:val="18"/>
              </w:rPr>
            </w:pPr>
            <w:r w:rsidRPr="00673FDC">
              <w:rPr>
                <w:b w:val="0"/>
                <w:sz w:val="18"/>
              </w:rPr>
              <w:t>5.03</w:t>
            </w:r>
          </w:p>
        </w:tc>
        <w:tc>
          <w:tcPr>
            <w:tcW w:w="851" w:type="dxa"/>
            <w:vAlign w:val="bottom"/>
            <w:hideMark/>
          </w:tcPr>
          <w:p w14:paraId="57206F61" w14:textId="730C8939" w:rsidR="00673FDC" w:rsidRPr="00D83FD8" w:rsidRDefault="00673FDC" w:rsidP="00673FDC">
            <w:pPr>
              <w:pStyle w:val="TableParagraph"/>
              <w:ind w:left="79" w:right="0"/>
              <w:jc w:val="left"/>
              <w:cnfStyle w:val="010000000000" w:firstRow="0" w:lastRow="1" w:firstColumn="0" w:lastColumn="0" w:oddVBand="0" w:evenVBand="0" w:oddHBand="0" w:evenHBand="0" w:firstRowFirstColumn="0" w:firstRowLastColumn="0" w:lastRowFirstColumn="0" w:lastRowLastColumn="0"/>
              <w:rPr>
                <w:b w:val="0"/>
                <w:sz w:val="18"/>
              </w:rPr>
            </w:pPr>
            <w:r w:rsidRPr="00673FDC">
              <w:rPr>
                <w:b w:val="0"/>
                <w:sz w:val="18"/>
              </w:rPr>
              <w:t>2.01</w:t>
            </w:r>
          </w:p>
        </w:tc>
        <w:tc>
          <w:tcPr>
            <w:tcW w:w="851" w:type="dxa"/>
            <w:vAlign w:val="bottom"/>
            <w:hideMark/>
          </w:tcPr>
          <w:p w14:paraId="125DCC2F" w14:textId="6EB28F76" w:rsidR="00673FDC" w:rsidRPr="00D83FD8" w:rsidRDefault="00673FDC" w:rsidP="00673FDC">
            <w:pPr>
              <w:pStyle w:val="TableParagraph"/>
              <w:ind w:left="79" w:right="0"/>
              <w:jc w:val="left"/>
              <w:cnfStyle w:val="010000000000" w:firstRow="0" w:lastRow="1" w:firstColumn="0" w:lastColumn="0" w:oddVBand="0" w:evenVBand="0" w:oddHBand="0" w:evenHBand="0" w:firstRowFirstColumn="0" w:firstRowLastColumn="0" w:lastRowFirstColumn="0" w:lastRowLastColumn="0"/>
              <w:rPr>
                <w:b w:val="0"/>
                <w:sz w:val="18"/>
              </w:rPr>
            </w:pPr>
            <w:r w:rsidRPr="00673FDC">
              <w:rPr>
                <w:b w:val="0"/>
                <w:sz w:val="18"/>
              </w:rPr>
              <w:t>6.20</w:t>
            </w:r>
          </w:p>
        </w:tc>
        <w:tc>
          <w:tcPr>
            <w:tcW w:w="851" w:type="dxa"/>
            <w:vAlign w:val="bottom"/>
            <w:hideMark/>
          </w:tcPr>
          <w:p w14:paraId="336EE8CA" w14:textId="70DD8AE7" w:rsidR="00673FDC" w:rsidRPr="00D83FD8" w:rsidRDefault="00673FDC" w:rsidP="00673FDC">
            <w:pPr>
              <w:pStyle w:val="TableParagraph"/>
              <w:ind w:left="79" w:right="0"/>
              <w:jc w:val="left"/>
              <w:cnfStyle w:val="010000000000" w:firstRow="0" w:lastRow="1" w:firstColumn="0" w:lastColumn="0" w:oddVBand="0" w:evenVBand="0" w:oddHBand="0" w:evenHBand="0" w:firstRowFirstColumn="0" w:firstRowLastColumn="0" w:lastRowFirstColumn="0" w:lastRowLastColumn="0"/>
              <w:rPr>
                <w:b w:val="0"/>
                <w:sz w:val="18"/>
              </w:rPr>
            </w:pPr>
            <w:r w:rsidRPr="00673FDC">
              <w:rPr>
                <w:b w:val="0"/>
                <w:sz w:val="18"/>
              </w:rPr>
              <w:t>-11.80</w:t>
            </w:r>
          </w:p>
        </w:tc>
        <w:tc>
          <w:tcPr>
            <w:tcW w:w="851" w:type="dxa"/>
            <w:vAlign w:val="bottom"/>
            <w:hideMark/>
          </w:tcPr>
          <w:p w14:paraId="40E54C53" w14:textId="2E54E637" w:rsidR="00673FDC" w:rsidRPr="00D83FD8" w:rsidRDefault="00673FDC" w:rsidP="00673FDC">
            <w:pPr>
              <w:pStyle w:val="TableParagraph"/>
              <w:ind w:left="79" w:right="0"/>
              <w:jc w:val="left"/>
              <w:cnfStyle w:val="010000000000" w:firstRow="0" w:lastRow="1" w:firstColumn="0" w:lastColumn="0" w:oddVBand="0" w:evenVBand="0" w:oddHBand="0" w:evenHBand="0" w:firstRowFirstColumn="0" w:firstRowLastColumn="0" w:lastRowFirstColumn="0" w:lastRowLastColumn="0"/>
              <w:rPr>
                <w:b w:val="0"/>
                <w:sz w:val="18"/>
              </w:rPr>
            </w:pPr>
            <w:r w:rsidRPr="00673FDC">
              <w:rPr>
                <w:b w:val="0"/>
                <w:sz w:val="18"/>
              </w:rPr>
              <w:t>-7.70</w:t>
            </w:r>
          </w:p>
        </w:tc>
        <w:tc>
          <w:tcPr>
            <w:tcW w:w="851" w:type="dxa"/>
            <w:vAlign w:val="bottom"/>
            <w:hideMark/>
          </w:tcPr>
          <w:p w14:paraId="37ADD5CF" w14:textId="3B434022" w:rsidR="00673FDC" w:rsidRPr="00D83FD8" w:rsidRDefault="00673FDC" w:rsidP="00673FDC">
            <w:pPr>
              <w:pStyle w:val="TableParagraph"/>
              <w:ind w:left="79" w:right="0"/>
              <w:jc w:val="left"/>
              <w:cnfStyle w:val="010000000000" w:firstRow="0" w:lastRow="1" w:firstColumn="0" w:lastColumn="0" w:oddVBand="0" w:evenVBand="0" w:oddHBand="0" w:evenHBand="0" w:firstRowFirstColumn="0" w:firstRowLastColumn="0" w:lastRowFirstColumn="0" w:lastRowLastColumn="0"/>
              <w:rPr>
                <w:b w:val="0"/>
                <w:sz w:val="18"/>
              </w:rPr>
            </w:pPr>
            <w:r w:rsidRPr="00673FDC">
              <w:rPr>
                <w:b w:val="0"/>
                <w:sz w:val="18"/>
              </w:rPr>
              <w:t>-3.59</w:t>
            </w:r>
          </w:p>
        </w:tc>
        <w:tc>
          <w:tcPr>
            <w:tcW w:w="851" w:type="dxa"/>
            <w:vAlign w:val="bottom"/>
            <w:hideMark/>
          </w:tcPr>
          <w:p w14:paraId="22F02EE2" w14:textId="0A360098" w:rsidR="00673FDC" w:rsidRPr="00D83FD8" w:rsidRDefault="00673FDC" w:rsidP="00673FDC">
            <w:pPr>
              <w:pStyle w:val="TableParagraph"/>
              <w:ind w:left="79" w:right="0"/>
              <w:jc w:val="left"/>
              <w:cnfStyle w:val="010000000000" w:firstRow="0" w:lastRow="1" w:firstColumn="0" w:lastColumn="0" w:oddVBand="0" w:evenVBand="0" w:oddHBand="0" w:evenHBand="0" w:firstRowFirstColumn="0" w:firstRowLastColumn="0" w:lastRowFirstColumn="0" w:lastRowLastColumn="0"/>
              <w:rPr>
                <w:b w:val="0"/>
                <w:sz w:val="18"/>
              </w:rPr>
            </w:pPr>
            <w:r w:rsidRPr="00673FDC">
              <w:rPr>
                <w:b w:val="0"/>
                <w:sz w:val="18"/>
              </w:rPr>
              <w:t>-5.75</w:t>
            </w:r>
          </w:p>
        </w:tc>
      </w:tr>
    </w:tbl>
    <w:p w14:paraId="2197E82F" w14:textId="3ACA8D5A" w:rsidR="00A472F1" w:rsidRPr="00C3477C" w:rsidRDefault="00A472F1" w:rsidP="00A472F1">
      <w:pPr>
        <w:spacing w:before="50"/>
        <w:rPr>
          <w:b/>
          <w:bCs/>
          <w:color w:val="1ED2E6" w:themeColor="accent1"/>
        </w:rPr>
      </w:pPr>
      <w:r w:rsidRPr="00C3477C">
        <w:rPr>
          <w:b/>
          <w:bCs/>
          <w:color w:val="1ED2E6" w:themeColor="accent1"/>
        </w:rPr>
        <w:t xml:space="preserve">(As at </w:t>
      </w:r>
      <w:r w:rsidR="0002364A">
        <w:rPr>
          <w:b/>
          <w:bCs/>
          <w:color w:val="1ED2E6" w:themeColor="accent1"/>
        </w:rPr>
        <w:t>3</w:t>
      </w:r>
      <w:r w:rsidR="00271C8D">
        <w:rPr>
          <w:b/>
          <w:bCs/>
          <w:color w:val="1ED2E6" w:themeColor="accent1"/>
        </w:rPr>
        <w:t>1</w:t>
      </w:r>
      <w:r w:rsidR="001A6FC5">
        <w:rPr>
          <w:b/>
          <w:bCs/>
          <w:color w:val="1ED2E6" w:themeColor="accent1"/>
        </w:rPr>
        <w:t xml:space="preserve"> </w:t>
      </w:r>
      <w:r w:rsidR="00271C8D">
        <w:rPr>
          <w:b/>
          <w:bCs/>
          <w:color w:val="1ED2E6" w:themeColor="accent1"/>
        </w:rPr>
        <w:t>May</w:t>
      </w:r>
      <w:r w:rsidRPr="00C3477C">
        <w:rPr>
          <w:b/>
          <w:bCs/>
          <w:color w:val="1ED2E6" w:themeColor="accent1"/>
        </w:rPr>
        <w:t xml:space="preserve"> 202</w:t>
      </w:r>
      <w:r w:rsidR="003327B3">
        <w:rPr>
          <w:b/>
          <w:bCs/>
          <w:color w:val="1ED2E6" w:themeColor="accent1"/>
        </w:rPr>
        <w:t>2</w:t>
      </w:r>
      <w:r w:rsidRPr="00C3477C">
        <w:rPr>
          <w:b/>
          <w:bCs/>
          <w:color w:val="1ED2E6" w:themeColor="accent1"/>
        </w:rPr>
        <w:t>)</w:t>
      </w:r>
    </w:p>
    <w:p w14:paraId="10FB0C26" w14:textId="77777777" w:rsidR="00A472F1" w:rsidRDefault="00A472F1" w:rsidP="00A472F1">
      <w:pPr>
        <w:pStyle w:val="BodyText"/>
        <w:spacing w:before="6"/>
        <w:rPr>
          <w:rFonts w:ascii="Arial" w:eastAsia="Arial" w:hAnsi="Arial" w:cs="Arial"/>
          <w:color w:val="auto"/>
          <w:sz w:val="16"/>
          <w:szCs w:val="22"/>
          <w:lang w:val="en-US" w:bidi="en-US"/>
        </w:rPr>
      </w:pPr>
    </w:p>
    <w:p w14:paraId="0A0DDA29" w14:textId="77777777" w:rsidR="00A472F1" w:rsidRDefault="00A472F1" w:rsidP="00A472F1">
      <w:pPr>
        <w:spacing w:before="53" w:line="266" w:lineRule="auto"/>
        <w:ind w:right="1049"/>
        <w:jc w:val="both"/>
        <w:rPr>
          <w:sz w:val="14"/>
        </w:rPr>
      </w:pPr>
      <w:r>
        <w:rPr>
          <w:sz w:val="14"/>
        </w:rPr>
        <w:t xml:space="preserve">1 Bloomberg </w:t>
      </w:r>
      <w:proofErr w:type="spellStart"/>
      <w:r>
        <w:rPr>
          <w:sz w:val="14"/>
        </w:rPr>
        <w:t>AusBond</w:t>
      </w:r>
      <w:proofErr w:type="spellEnd"/>
      <w:r>
        <w:rPr>
          <w:sz w:val="14"/>
        </w:rPr>
        <w:t xml:space="preserve"> Bank 0+Y TR AUD, 2 Bloomberg </w:t>
      </w:r>
      <w:proofErr w:type="spellStart"/>
      <w:r>
        <w:rPr>
          <w:sz w:val="14"/>
        </w:rPr>
        <w:t>AusBond</w:t>
      </w:r>
      <w:proofErr w:type="spellEnd"/>
      <w:r>
        <w:rPr>
          <w:sz w:val="14"/>
        </w:rPr>
        <w:t xml:space="preserve"> Composite 0+Y TR AUD, 3 Bloomberg Barclays Global Aggregate TR </w:t>
      </w:r>
      <w:proofErr w:type="spellStart"/>
      <w:r>
        <w:rPr>
          <w:sz w:val="14"/>
        </w:rPr>
        <w:t>Hdg</w:t>
      </w:r>
      <w:proofErr w:type="spellEnd"/>
      <w:r>
        <w:rPr>
          <w:sz w:val="14"/>
        </w:rPr>
        <w:t xml:space="preserve"> AUD, 4 S&amp;P/ASX All Ordinaries TR, 5 Vanguard International Shares Index, 6 Vanguard Intl Shares Index </w:t>
      </w:r>
      <w:proofErr w:type="spellStart"/>
      <w:r>
        <w:rPr>
          <w:sz w:val="14"/>
        </w:rPr>
        <w:t>Hdg</w:t>
      </w:r>
      <w:proofErr w:type="spellEnd"/>
      <w:r>
        <w:rPr>
          <w:sz w:val="14"/>
        </w:rPr>
        <w:t xml:space="preserve"> AUD TR, 7 Vanguard Emerging Markets Shares Index, 8 FTSE Developed Core Infrastructure 50/50 NR AUD, 9 S&amp;P/ASX 300 AREIT TR, 10 FTSE EPRA/NAREIT Global REITs NR AUD</w:t>
      </w:r>
    </w:p>
    <w:p w14:paraId="50770DE4" w14:textId="77777777" w:rsidR="00A472F1" w:rsidRDefault="00A472F1" w:rsidP="00A472F1">
      <w:pPr>
        <w:spacing w:before="53" w:line="266" w:lineRule="auto"/>
        <w:ind w:right="1049"/>
        <w:jc w:val="both"/>
        <w:rPr>
          <w:sz w:val="14"/>
        </w:rPr>
      </w:pPr>
      <w:r>
        <w:rPr>
          <w:sz w:val="14"/>
        </w:rPr>
        <w:t xml:space="preserve">Source: Centrepoint Research Team, Morningstar Direct </w:t>
      </w:r>
    </w:p>
    <w:p w14:paraId="60C5DCF4" w14:textId="21BA7919" w:rsidR="00A472F1" w:rsidRPr="00A472F1" w:rsidRDefault="00A472F1" w:rsidP="00A472F1"/>
    <w:bookmarkEnd w:id="1"/>
    <w:bookmarkEnd w:id="0"/>
    <w:p w14:paraId="2D14DC47" w14:textId="77777777" w:rsidR="00561811" w:rsidRPr="00C3477C" w:rsidRDefault="00561811" w:rsidP="00561811">
      <w:pPr>
        <w:pStyle w:val="BodyText"/>
        <w:spacing w:line="300" w:lineRule="auto"/>
        <w:ind w:right="731"/>
        <w:jc w:val="both"/>
        <w:rPr>
          <w:b/>
          <w:bCs/>
          <w:color w:val="1ED2E6" w:themeColor="accent1"/>
        </w:rPr>
      </w:pPr>
      <w:r w:rsidRPr="00A472F1">
        <w:rPr>
          <w:b/>
          <w:bCs/>
          <w:color w:val="1ED2E6" w:themeColor="accent1"/>
        </w:rPr>
        <w:t>International Equities</w:t>
      </w:r>
    </w:p>
    <w:p w14:paraId="562560DE" w14:textId="6D8EAB76" w:rsidR="00B47B2C" w:rsidRDefault="00B47B2C" w:rsidP="00561811">
      <w:pPr>
        <w:pStyle w:val="BodyText"/>
        <w:spacing w:line="300" w:lineRule="auto"/>
        <w:ind w:right="731"/>
        <w:jc w:val="both"/>
        <w:rPr>
          <w:rFonts w:cstheme="minorHAnsi"/>
        </w:rPr>
      </w:pPr>
      <w:r>
        <w:rPr>
          <w:rFonts w:cstheme="minorHAnsi"/>
        </w:rPr>
        <w:t>Whilst volatility moderated somewhat during the month of May, International Shares</w:t>
      </w:r>
      <w:r w:rsidR="003D187F">
        <w:rPr>
          <w:rFonts w:cstheme="minorHAnsi"/>
        </w:rPr>
        <w:t>,</w:t>
      </w:r>
      <w:r>
        <w:rPr>
          <w:rFonts w:cstheme="minorHAnsi"/>
        </w:rPr>
        <w:t xml:space="preserve"> </w:t>
      </w:r>
      <w:r w:rsidR="003D187F">
        <w:rPr>
          <w:rFonts w:cstheme="minorHAnsi"/>
        </w:rPr>
        <w:t xml:space="preserve">both unhedged and hedged fell 3.23% and 7.5% on the month. </w:t>
      </w:r>
      <w:r w:rsidR="004E6AB7">
        <w:rPr>
          <w:rFonts w:cstheme="minorHAnsi"/>
        </w:rPr>
        <w:t>Markets continue to price in the impacts of increasing interest rates and inflation.</w:t>
      </w:r>
      <w:r w:rsidR="00CC21D4">
        <w:rPr>
          <w:rFonts w:cstheme="minorHAnsi"/>
        </w:rPr>
        <w:t xml:space="preserve"> Inflationary pressures remain present globally as the German inflation rate came in above forecasts at 7.9% during the month.</w:t>
      </w:r>
      <w:r w:rsidR="00DE2736">
        <w:rPr>
          <w:rFonts w:cstheme="minorHAnsi"/>
        </w:rPr>
        <w:t xml:space="preserve"> Energy remains the biggest outperformer within the international equities market across the month followed by utilities. Real estate, consumer discretionary and </w:t>
      </w:r>
      <w:r w:rsidR="00763E9D">
        <w:rPr>
          <w:rFonts w:cstheme="minorHAnsi"/>
        </w:rPr>
        <w:t>consumer staples were among the worst performers.</w:t>
      </w:r>
      <w:r w:rsidR="00E7692E">
        <w:rPr>
          <w:rFonts w:cstheme="minorHAnsi"/>
        </w:rPr>
        <w:t xml:space="preserve"> </w:t>
      </w:r>
      <w:r w:rsidR="00763E9D">
        <w:rPr>
          <w:rFonts w:cstheme="minorHAnsi"/>
        </w:rPr>
        <w:t>Listed real estate has started to show weakness as rising rates put pressures on property.</w:t>
      </w:r>
      <w:r w:rsidR="004E6AB7">
        <w:rPr>
          <w:rFonts w:cstheme="minorHAnsi"/>
        </w:rPr>
        <w:t xml:space="preserve"> Markets are paying close attention to every word </w:t>
      </w:r>
      <w:r w:rsidR="00763E9D">
        <w:rPr>
          <w:rFonts w:cstheme="minorHAnsi"/>
        </w:rPr>
        <w:t xml:space="preserve">coming out of </w:t>
      </w:r>
      <w:r w:rsidR="004E6AB7">
        <w:rPr>
          <w:rFonts w:cstheme="minorHAnsi"/>
        </w:rPr>
        <w:t>Central Bank</w:t>
      </w:r>
      <w:r w:rsidR="00CC21D4">
        <w:rPr>
          <w:rFonts w:cstheme="minorHAnsi"/>
        </w:rPr>
        <w:t xml:space="preserve">s </w:t>
      </w:r>
      <w:r w:rsidR="00803BF8">
        <w:rPr>
          <w:rFonts w:cstheme="minorHAnsi"/>
        </w:rPr>
        <w:t>as their guidance remains the single most impactful driver of markets.</w:t>
      </w:r>
      <w:r w:rsidR="004E6AB7">
        <w:rPr>
          <w:rFonts w:cstheme="minorHAnsi"/>
        </w:rPr>
        <w:t xml:space="preserve"> </w:t>
      </w:r>
      <w:r w:rsidR="00C80E5B">
        <w:rPr>
          <w:rFonts w:cstheme="minorHAnsi"/>
        </w:rPr>
        <w:t>The Federal Reserve</w:t>
      </w:r>
      <w:r w:rsidR="00803BF8">
        <w:rPr>
          <w:rFonts w:cstheme="minorHAnsi"/>
        </w:rPr>
        <w:t xml:space="preserve"> Bank</w:t>
      </w:r>
      <w:r w:rsidR="00C80E5B">
        <w:rPr>
          <w:rFonts w:cstheme="minorHAnsi"/>
        </w:rPr>
        <w:t xml:space="preserve"> followed through with their promise and rose the target policy rate by</w:t>
      </w:r>
      <w:r w:rsidR="00E7692E">
        <w:rPr>
          <w:rFonts w:cstheme="minorHAnsi"/>
        </w:rPr>
        <w:t xml:space="preserve"> a significant</w:t>
      </w:r>
      <w:r w:rsidR="00C80E5B">
        <w:rPr>
          <w:rFonts w:cstheme="minorHAnsi"/>
        </w:rPr>
        <w:t xml:space="preserve"> 0.5%</w:t>
      </w:r>
      <w:r w:rsidR="00C172AF">
        <w:rPr>
          <w:rFonts w:cstheme="minorHAnsi"/>
        </w:rPr>
        <w:t xml:space="preserve"> in May</w:t>
      </w:r>
      <w:r w:rsidR="00C80E5B">
        <w:rPr>
          <w:rFonts w:cstheme="minorHAnsi"/>
        </w:rPr>
        <w:t>. They have outlined that two more increases o</w:t>
      </w:r>
      <w:r w:rsidR="004E6AB7">
        <w:rPr>
          <w:rFonts w:cstheme="minorHAnsi"/>
        </w:rPr>
        <w:t>f</w:t>
      </w:r>
      <w:r w:rsidR="00C80E5B">
        <w:rPr>
          <w:rFonts w:cstheme="minorHAnsi"/>
        </w:rPr>
        <w:t xml:space="preserve"> 0.5% </w:t>
      </w:r>
      <w:r w:rsidR="004E6AB7">
        <w:rPr>
          <w:rFonts w:cstheme="minorHAnsi"/>
        </w:rPr>
        <w:t xml:space="preserve">are still to come in the subsequent months. </w:t>
      </w:r>
    </w:p>
    <w:p w14:paraId="5A95F0BC" w14:textId="77777777" w:rsidR="00561811" w:rsidRPr="00C3477C" w:rsidRDefault="00561811" w:rsidP="00561811">
      <w:pPr>
        <w:pStyle w:val="BodyText"/>
        <w:spacing w:line="300" w:lineRule="auto"/>
        <w:ind w:right="731"/>
        <w:jc w:val="both"/>
        <w:rPr>
          <w:b/>
          <w:bCs/>
          <w:color w:val="1ED2E6" w:themeColor="accent1"/>
        </w:rPr>
      </w:pPr>
      <w:r w:rsidRPr="00C3477C">
        <w:rPr>
          <w:b/>
          <w:bCs/>
          <w:color w:val="1ED2E6" w:themeColor="accent1"/>
        </w:rPr>
        <w:t>Australian Equities</w:t>
      </w:r>
    </w:p>
    <w:p w14:paraId="1DBE2200" w14:textId="04F549B1" w:rsidR="00E7692E" w:rsidRDefault="00E7692E" w:rsidP="00561811">
      <w:pPr>
        <w:pStyle w:val="BodyText"/>
        <w:spacing w:line="300" w:lineRule="auto"/>
        <w:ind w:right="731"/>
        <w:jc w:val="both"/>
        <w:rPr>
          <w:rFonts w:cstheme="minorHAnsi"/>
        </w:rPr>
      </w:pPr>
      <w:r>
        <w:rPr>
          <w:rFonts w:cstheme="minorHAnsi"/>
        </w:rPr>
        <w:t>The domestic market also suffered a weak month</w:t>
      </w:r>
      <w:r w:rsidR="0025665E">
        <w:rPr>
          <w:rFonts w:cstheme="minorHAnsi"/>
        </w:rPr>
        <w:t xml:space="preserve"> (-3.13%)</w:t>
      </w:r>
      <w:r>
        <w:rPr>
          <w:rFonts w:cstheme="minorHAnsi"/>
        </w:rPr>
        <w:t xml:space="preserve"> as </w:t>
      </w:r>
      <w:r w:rsidR="0025665E">
        <w:rPr>
          <w:rFonts w:cstheme="minorHAnsi"/>
        </w:rPr>
        <w:t xml:space="preserve">technology and real estate dragged the index lower. </w:t>
      </w:r>
      <w:r w:rsidR="00CC21D4">
        <w:rPr>
          <w:rFonts w:cstheme="minorHAnsi"/>
        </w:rPr>
        <w:t>I</w:t>
      </w:r>
      <w:r w:rsidR="0025665E">
        <w:rPr>
          <w:rFonts w:cstheme="minorHAnsi"/>
        </w:rPr>
        <w:t xml:space="preserve">nterest rates and inflation remain the key driver </w:t>
      </w:r>
      <w:r w:rsidR="00735DCC">
        <w:rPr>
          <w:rFonts w:cstheme="minorHAnsi"/>
        </w:rPr>
        <w:t xml:space="preserve">domestically just like </w:t>
      </w:r>
      <w:r w:rsidR="00C172AF">
        <w:rPr>
          <w:rFonts w:cstheme="minorHAnsi"/>
        </w:rPr>
        <w:t>in</w:t>
      </w:r>
      <w:r w:rsidR="00CC21D4">
        <w:rPr>
          <w:rFonts w:cstheme="minorHAnsi"/>
        </w:rPr>
        <w:t xml:space="preserve"> </w:t>
      </w:r>
      <w:r w:rsidR="00735DCC">
        <w:rPr>
          <w:rFonts w:cstheme="minorHAnsi"/>
        </w:rPr>
        <w:t xml:space="preserve">international shares. </w:t>
      </w:r>
      <w:r w:rsidR="00182F08">
        <w:rPr>
          <w:rFonts w:cstheme="minorHAnsi"/>
        </w:rPr>
        <w:t>Weakness from China</w:t>
      </w:r>
      <w:r w:rsidR="00CC21D4">
        <w:rPr>
          <w:rFonts w:cstheme="minorHAnsi"/>
        </w:rPr>
        <w:t xml:space="preserve"> stemming from the lockdowns </w:t>
      </w:r>
      <w:r w:rsidR="00C172AF">
        <w:rPr>
          <w:rFonts w:cstheme="minorHAnsi"/>
        </w:rPr>
        <w:t xml:space="preserve">occurring across the region pulled down the price of iron ore, hurting the major materials miners within Australia. Australia remains one of the worlds best performing stock markets </w:t>
      </w:r>
      <w:r w:rsidR="00271C8D">
        <w:rPr>
          <w:rFonts w:cstheme="minorHAnsi"/>
        </w:rPr>
        <w:t>y</w:t>
      </w:r>
      <w:r w:rsidR="00C172AF">
        <w:rPr>
          <w:rFonts w:cstheme="minorHAnsi"/>
        </w:rPr>
        <w:t>ear-</w:t>
      </w:r>
      <w:r w:rsidR="00271C8D">
        <w:rPr>
          <w:rFonts w:cstheme="minorHAnsi"/>
        </w:rPr>
        <w:t>t</w:t>
      </w:r>
      <w:r w:rsidR="00C172AF">
        <w:rPr>
          <w:rFonts w:cstheme="minorHAnsi"/>
        </w:rPr>
        <w:t>o-</w:t>
      </w:r>
      <w:r w:rsidR="00271C8D">
        <w:rPr>
          <w:rFonts w:cstheme="minorHAnsi"/>
        </w:rPr>
        <w:t>d</w:t>
      </w:r>
      <w:r w:rsidR="00C172AF">
        <w:rPr>
          <w:rFonts w:cstheme="minorHAnsi"/>
        </w:rPr>
        <w:t xml:space="preserve">ate </w:t>
      </w:r>
      <w:r w:rsidR="00271C8D">
        <w:rPr>
          <w:rFonts w:cstheme="minorHAnsi"/>
        </w:rPr>
        <w:t xml:space="preserve">(YTD) </w:t>
      </w:r>
      <w:r w:rsidR="00C172AF">
        <w:rPr>
          <w:rFonts w:cstheme="minorHAnsi"/>
        </w:rPr>
        <w:t xml:space="preserve">as resilience </w:t>
      </w:r>
      <w:r w:rsidR="00271C8D">
        <w:rPr>
          <w:rFonts w:cstheme="minorHAnsi"/>
        </w:rPr>
        <w:t>within</w:t>
      </w:r>
      <w:r w:rsidR="00C172AF">
        <w:rPr>
          <w:rFonts w:cstheme="minorHAnsi"/>
        </w:rPr>
        <w:t xml:space="preserve"> financials, utilities and resources helped </w:t>
      </w:r>
      <w:r w:rsidR="00C172AF">
        <w:rPr>
          <w:rFonts w:cstheme="minorHAnsi"/>
        </w:rPr>
        <w:lastRenderedPageBreak/>
        <w:t xml:space="preserve">steady the market. </w:t>
      </w:r>
      <w:r w:rsidR="00271C8D">
        <w:rPr>
          <w:rFonts w:cstheme="minorHAnsi"/>
        </w:rPr>
        <w:t xml:space="preserve">An above forecast 0.8% growth in GDP for the first quarter of the year reassured Australians of economic weakness. This, however, is of course a backward-looking metric.  </w:t>
      </w:r>
    </w:p>
    <w:p w14:paraId="74CECB77" w14:textId="77777777" w:rsidR="00561811" w:rsidRPr="00066ABD" w:rsidRDefault="00561811" w:rsidP="00561811">
      <w:pPr>
        <w:pStyle w:val="BodyText"/>
        <w:spacing w:line="300" w:lineRule="auto"/>
        <w:ind w:right="731"/>
        <w:jc w:val="both"/>
        <w:rPr>
          <w:b/>
          <w:bCs/>
          <w:color w:val="1ED2E6" w:themeColor="accent1"/>
        </w:rPr>
      </w:pPr>
      <w:r w:rsidRPr="00C3477C">
        <w:rPr>
          <w:b/>
          <w:bCs/>
          <w:color w:val="1ED2E6" w:themeColor="accent1"/>
        </w:rPr>
        <w:t>Domestic and International Fixed Income</w:t>
      </w:r>
    </w:p>
    <w:p w14:paraId="35E5B354" w14:textId="2748171E" w:rsidR="00271C8D" w:rsidRDefault="00271C8D" w:rsidP="00561811">
      <w:pPr>
        <w:pStyle w:val="BodyText"/>
        <w:spacing w:line="300" w:lineRule="auto"/>
        <w:ind w:right="731"/>
        <w:jc w:val="both"/>
        <w:rPr>
          <w:rFonts w:cstheme="minorHAnsi"/>
        </w:rPr>
      </w:pPr>
      <w:r>
        <w:rPr>
          <w:rFonts w:cstheme="minorHAnsi"/>
        </w:rPr>
        <w:t>Australian bonds (</w:t>
      </w:r>
      <w:r w:rsidR="00995633">
        <w:rPr>
          <w:rFonts w:cstheme="minorHAnsi"/>
        </w:rPr>
        <w:t>-0.89%)</w:t>
      </w:r>
      <w:r>
        <w:rPr>
          <w:rFonts w:cstheme="minorHAnsi"/>
        </w:rPr>
        <w:t xml:space="preserve"> </w:t>
      </w:r>
      <w:r w:rsidR="00F44506">
        <w:rPr>
          <w:rFonts w:cstheme="minorHAnsi"/>
        </w:rPr>
        <w:t xml:space="preserve">were finally </w:t>
      </w:r>
      <w:r>
        <w:rPr>
          <w:rFonts w:cstheme="minorHAnsi"/>
        </w:rPr>
        <w:t>not the worst performer relative to international bonds</w:t>
      </w:r>
      <w:r w:rsidR="00995633">
        <w:rPr>
          <w:rFonts w:cstheme="minorHAnsi"/>
        </w:rPr>
        <w:t xml:space="preserve"> (-2.88%)</w:t>
      </w:r>
      <w:r>
        <w:rPr>
          <w:rFonts w:cstheme="minorHAnsi"/>
        </w:rPr>
        <w:t xml:space="preserve"> on the month</w:t>
      </w:r>
      <w:r w:rsidR="00995633">
        <w:rPr>
          <w:rFonts w:cstheme="minorHAnsi"/>
        </w:rPr>
        <w:t>.</w:t>
      </w:r>
      <w:r w:rsidR="00F44506">
        <w:rPr>
          <w:rFonts w:cstheme="minorHAnsi"/>
        </w:rPr>
        <w:t xml:space="preserve"> They are however, still down 8.1% compared to 7.72% for international bonds YTD.</w:t>
      </w:r>
      <w:r w:rsidR="00995633">
        <w:rPr>
          <w:rFonts w:cstheme="minorHAnsi"/>
        </w:rPr>
        <w:t xml:space="preserve"> </w:t>
      </w:r>
      <w:r w:rsidR="0041521E">
        <w:rPr>
          <w:rFonts w:cstheme="minorHAnsi"/>
        </w:rPr>
        <w:t xml:space="preserve">Hotter than expected inflation numbers in Europe </w:t>
      </w:r>
      <w:r w:rsidR="00F44506">
        <w:rPr>
          <w:rFonts w:cstheme="minorHAnsi"/>
        </w:rPr>
        <w:t>significantly increased bond yields in the region, feeding into the international bond index</w:t>
      </w:r>
      <w:r w:rsidR="0041521E">
        <w:rPr>
          <w:rFonts w:cstheme="minorHAnsi"/>
        </w:rPr>
        <w:t xml:space="preserve">. Australia’s bond yields rose moderately on the month but have stabilised somewhat with </w:t>
      </w:r>
      <w:r w:rsidR="00F44506">
        <w:rPr>
          <w:rFonts w:cstheme="minorHAnsi"/>
        </w:rPr>
        <w:t xml:space="preserve">a lot of the increases in interest rates already priced into the market. </w:t>
      </w:r>
    </w:p>
    <w:p w14:paraId="6014391B" w14:textId="77777777" w:rsidR="00561811" w:rsidRPr="00C3477C" w:rsidRDefault="00561811" w:rsidP="00561811">
      <w:pPr>
        <w:pStyle w:val="BodyText"/>
        <w:spacing w:line="300" w:lineRule="auto"/>
        <w:ind w:right="731"/>
        <w:jc w:val="both"/>
        <w:rPr>
          <w:b/>
          <w:bCs/>
          <w:color w:val="1ED2E6" w:themeColor="accent1"/>
        </w:rPr>
      </w:pPr>
      <w:r w:rsidRPr="00C3477C">
        <w:rPr>
          <w:b/>
          <w:bCs/>
          <w:color w:val="1ED2E6" w:themeColor="accent1"/>
        </w:rPr>
        <w:t>Australian Dollar</w:t>
      </w:r>
    </w:p>
    <w:p w14:paraId="02DF9BC7" w14:textId="2D1B0124" w:rsidR="00561811" w:rsidRPr="007F469A" w:rsidRDefault="00561811" w:rsidP="00561811">
      <w:pPr>
        <w:pStyle w:val="BodyText"/>
        <w:spacing w:line="300" w:lineRule="auto"/>
        <w:ind w:right="731"/>
        <w:jc w:val="both"/>
        <w:rPr>
          <w:rFonts w:cstheme="minorHAnsi"/>
        </w:rPr>
      </w:pPr>
      <w:r w:rsidRPr="005849D2">
        <w:rPr>
          <w:rFonts w:cstheme="minorHAnsi"/>
        </w:rPr>
        <w:t xml:space="preserve">The Australian Dollar </w:t>
      </w:r>
      <w:r>
        <w:rPr>
          <w:rFonts w:cstheme="minorHAnsi"/>
        </w:rPr>
        <w:t xml:space="preserve">(AUD) </w:t>
      </w:r>
      <w:r w:rsidR="00BC7174">
        <w:rPr>
          <w:rFonts w:cstheme="minorHAnsi"/>
        </w:rPr>
        <w:t>rose 0.94</w:t>
      </w:r>
      <w:r>
        <w:rPr>
          <w:rFonts w:cstheme="minorHAnsi"/>
        </w:rPr>
        <w:t xml:space="preserve">% in </w:t>
      </w:r>
      <w:r w:rsidR="00BC7174">
        <w:rPr>
          <w:rFonts w:cstheme="minorHAnsi"/>
        </w:rPr>
        <w:t>May</w:t>
      </w:r>
      <w:r>
        <w:rPr>
          <w:rFonts w:cstheme="minorHAnsi"/>
        </w:rPr>
        <w:t xml:space="preserve"> </w:t>
      </w:r>
      <w:r w:rsidR="00BC7174">
        <w:rPr>
          <w:rFonts w:cstheme="minorHAnsi"/>
        </w:rPr>
        <w:t>due to a general weakening in the United States Dollar (USD) that saw most currencies valued in USD rise on the month. The USD weakened</w:t>
      </w:r>
      <w:r w:rsidR="000B7663">
        <w:rPr>
          <w:rFonts w:cstheme="minorHAnsi"/>
        </w:rPr>
        <w:t xml:space="preserve"> on the back </w:t>
      </w:r>
      <w:r w:rsidR="00DE2C6C">
        <w:rPr>
          <w:rFonts w:cstheme="minorHAnsi"/>
        </w:rPr>
        <w:t xml:space="preserve">of falling yields spurred by perceived dovish central bank rhetoric coming out of the Federal Reserve. This talk has been wound back by Fed Chair Jerome Powell since then. </w:t>
      </w:r>
    </w:p>
    <w:p w14:paraId="3263071C" w14:textId="49AF3295" w:rsidR="00920B8A" w:rsidRDefault="00920B8A" w:rsidP="001D5FBD">
      <w:pPr>
        <w:jc w:val="both"/>
      </w:pPr>
    </w:p>
    <w:p w14:paraId="61345EA3" w14:textId="311F6B42" w:rsidR="00561811" w:rsidRDefault="00561811" w:rsidP="001D5FBD">
      <w:pPr>
        <w:jc w:val="both"/>
      </w:pPr>
    </w:p>
    <w:p w14:paraId="1D6286DD" w14:textId="67DC957D" w:rsidR="00561811" w:rsidRDefault="00561811" w:rsidP="001D5FBD">
      <w:pPr>
        <w:jc w:val="both"/>
      </w:pPr>
    </w:p>
    <w:p w14:paraId="145FC803" w14:textId="3988C846" w:rsidR="00561811" w:rsidRDefault="00561811" w:rsidP="001D5FBD">
      <w:pPr>
        <w:jc w:val="both"/>
      </w:pPr>
    </w:p>
    <w:p w14:paraId="4F77ED36" w14:textId="46D40AE8" w:rsidR="00561811" w:rsidRDefault="00561811" w:rsidP="001D5FBD">
      <w:pPr>
        <w:jc w:val="both"/>
      </w:pPr>
    </w:p>
    <w:p w14:paraId="4FB33B66" w14:textId="77777777" w:rsidR="00561811" w:rsidRDefault="00561811" w:rsidP="001D5FBD">
      <w:pPr>
        <w:jc w:val="both"/>
        <w:rPr>
          <w:b/>
          <w:bCs/>
          <w:color w:val="5A5B5E" w:themeColor="text1"/>
          <w:szCs w:val="20"/>
        </w:rPr>
      </w:pPr>
    </w:p>
    <w:p w14:paraId="5D6ADA54" w14:textId="77777777" w:rsidR="00920B8A" w:rsidRDefault="00920B8A" w:rsidP="001D5FBD">
      <w:pPr>
        <w:jc w:val="both"/>
        <w:rPr>
          <w:b/>
          <w:bCs/>
          <w:color w:val="5A5B5E" w:themeColor="text1"/>
          <w:szCs w:val="20"/>
        </w:rPr>
      </w:pPr>
    </w:p>
    <w:p w14:paraId="7BA4EB1E" w14:textId="77777777" w:rsidR="00920B8A" w:rsidRDefault="00920B8A" w:rsidP="001D5FBD">
      <w:pPr>
        <w:jc w:val="both"/>
        <w:rPr>
          <w:b/>
          <w:bCs/>
          <w:color w:val="5A5B5E" w:themeColor="text1"/>
          <w:szCs w:val="20"/>
        </w:rPr>
      </w:pPr>
    </w:p>
    <w:p w14:paraId="320836CD" w14:textId="15C1CE36" w:rsidR="00920B8A" w:rsidRDefault="00920B8A" w:rsidP="001D5FBD">
      <w:pPr>
        <w:jc w:val="both"/>
        <w:rPr>
          <w:b/>
          <w:bCs/>
          <w:color w:val="5A5B5E" w:themeColor="text1"/>
          <w:szCs w:val="20"/>
        </w:rPr>
      </w:pPr>
    </w:p>
    <w:p w14:paraId="0C156DA5" w14:textId="78B3BB1C" w:rsidR="002D64EA" w:rsidRDefault="002D64EA" w:rsidP="001D5FBD">
      <w:pPr>
        <w:jc w:val="both"/>
        <w:rPr>
          <w:b/>
          <w:bCs/>
          <w:color w:val="5A5B5E" w:themeColor="text1"/>
          <w:szCs w:val="20"/>
        </w:rPr>
      </w:pPr>
    </w:p>
    <w:p w14:paraId="51D55EE5" w14:textId="01A6498B" w:rsidR="00866013" w:rsidRDefault="00866013" w:rsidP="001D5FBD">
      <w:pPr>
        <w:jc w:val="both"/>
        <w:rPr>
          <w:b/>
          <w:bCs/>
          <w:color w:val="5A5B5E" w:themeColor="text1"/>
          <w:szCs w:val="20"/>
        </w:rPr>
      </w:pPr>
    </w:p>
    <w:p w14:paraId="635FFE82" w14:textId="77777777" w:rsidR="00866013" w:rsidRDefault="00866013" w:rsidP="001D5FBD">
      <w:pPr>
        <w:jc w:val="both"/>
        <w:rPr>
          <w:b/>
          <w:bCs/>
          <w:color w:val="5A5B5E" w:themeColor="text1"/>
          <w:szCs w:val="20"/>
        </w:rPr>
      </w:pPr>
    </w:p>
    <w:p w14:paraId="17E82B78" w14:textId="00DCCF45" w:rsidR="001D5FBD" w:rsidRPr="00290F20" w:rsidRDefault="001D5FBD" w:rsidP="001D5FBD">
      <w:pPr>
        <w:jc w:val="both"/>
        <w:rPr>
          <w:b/>
          <w:bCs/>
          <w:color w:val="5A5B5E" w:themeColor="text1"/>
          <w:szCs w:val="20"/>
        </w:rPr>
      </w:pPr>
      <w:r w:rsidRPr="00290F20">
        <w:rPr>
          <w:b/>
          <w:bCs/>
          <w:color w:val="5A5B5E" w:themeColor="text1"/>
          <w:szCs w:val="20"/>
        </w:rPr>
        <w:t>Disclaimer</w:t>
      </w:r>
    </w:p>
    <w:p w14:paraId="40D848FA" w14:textId="77777777" w:rsidR="001D5FBD" w:rsidRPr="00382654" w:rsidRDefault="001D5FBD" w:rsidP="001D5FBD">
      <w:pPr>
        <w:pStyle w:val="SubBulletPoints"/>
        <w:numPr>
          <w:ilvl w:val="0"/>
          <w:numId w:val="0"/>
        </w:numPr>
        <w:spacing w:before="100" w:after="200"/>
        <w:jc w:val="both"/>
        <w:rPr>
          <w:sz w:val="18"/>
        </w:rPr>
      </w:pPr>
      <w:r w:rsidRPr="00B52198">
        <w:rPr>
          <w:sz w:val="18"/>
        </w:rPr>
        <w:t>The information provided in this communication has been issued by Centrepoint Alliance Ltd and Ventura Investment Management Limited (AFSL 253045)</w:t>
      </w:r>
      <w:r w:rsidRPr="00382654">
        <w:rPr>
          <w:sz w:val="18"/>
        </w:rPr>
        <w:t xml:space="preserve">. </w:t>
      </w:r>
    </w:p>
    <w:p w14:paraId="44746301" w14:textId="77777777" w:rsidR="001D5FBD" w:rsidRPr="00382654" w:rsidRDefault="001D5FBD" w:rsidP="001D5FBD">
      <w:pPr>
        <w:pStyle w:val="SubBulletPoints"/>
        <w:numPr>
          <w:ilvl w:val="0"/>
          <w:numId w:val="0"/>
        </w:numPr>
        <w:spacing w:before="100" w:after="200"/>
        <w:jc w:val="both"/>
        <w:rPr>
          <w:sz w:val="18"/>
        </w:rPr>
      </w:pPr>
      <w:r w:rsidRPr="00B52198">
        <w:rPr>
          <w:sz w:val="18"/>
        </w:rPr>
        <w:t>The information provided is general advice only has not taken into account your financial circumstances, needs or objectives. This publication should be viewed as an additional resource, not as your sole source of information. Where you are considering the acquisition, or possible acquisition, of a particular financial product, you should obtain a Product Disclosure for the relevant product before you make any decision to invest. Past performance does not necessarily indicate a financial product’s future performance. It is imperative that you seek advice from a registered professional financial adviser before making any investment decisions</w:t>
      </w:r>
      <w:r w:rsidRPr="00382654">
        <w:rPr>
          <w:sz w:val="18"/>
        </w:rPr>
        <w:t xml:space="preserve">. </w:t>
      </w:r>
    </w:p>
    <w:p w14:paraId="12344C79" w14:textId="31A72F84" w:rsidR="004E533B" w:rsidRPr="00920B8A" w:rsidRDefault="001D5FBD" w:rsidP="00920B8A">
      <w:pPr>
        <w:pStyle w:val="SubBulletPoints"/>
        <w:numPr>
          <w:ilvl w:val="0"/>
          <w:numId w:val="0"/>
        </w:numPr>
        <w:spacing w:before="100" w:after="200"/>
        <w:jc w:val="both"/>
        <w:rPr>
          <w:sz w:val="18"/>
        </w:rPr>
      </w:pPr>
      <w:r w:rsidRPr="00B52198">
        <w:rPr>
          <w:sz w:val="18"/>
        </w:rPr>
        <w:t>Whilst all care has been taken in the preparation of this material, no warranty is given in respect of the information provided and accordingly neither Centrepoint Alliance Ltd nor its related entities, guarantee the data or content contained herein to be accurate, complete or timely nor will they have any liability for its use or distribution</w:t>
      </w:r>
      <w:r w:rsidRPr="00382654">
        <w:rPr>
          <w:sz w:val="18"/>
        </w:rPr>
        <w:t>.</w:t>
      </w:r>
      <w:bookmarkEnd w:id="2"/>
    </w:p>
    <w:sectPr w:rsidR="004E533B" w:rsidRPr="00920B8A" w:rsidSect="00253DF2">
      <w:footerReference w:type="default" r:id="rId11"/>
      <w:headerReference w:type="first" r:id="rId12"/>
      <w:footerReference w:type="first" r:id="rId13"/>
      <w:pgSz w:w="11906" w:h="16838" w:code="9"/>
      <w:pgMar w:top="992" w:right="1021" w:bottom="1701" w:left="1021" w:header="284" w:footer="794" w:gutter="0"/>
      <w:cols w:space="708" w:equalWidth="0">
        <w:col w:w="9864"/>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A7068" w14:textId="77777777" w:rsidR="00487881" w:rsidRDefault="00487881" w:rsidP="008F222C">
      <w:r>
        <w:separator/>
      </w:r>
    </w:p>
  </w:endnote>
  <w:endnote w:type="continuationSeparator" w:id="0">
    <w:p w14:paraId="73352AA5" w14:textId="77777777" w:rsidR="00487881" w:rsidRDefault="00487881" w:rsidP="008F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3500" w14:textId="013B9839" w:rsidR="00EC3D49" w:rsidRDefault="00DB2BEC">
    <w:pPr>
      <w:pStyle w:val="Footer"/>
    </w:pPr>
    <w:r w:rsidRPr="009C22BC">
      <w:rPr>
        <w:rStyle w:val="Companyfooter"/>
      </w:rPr>
      <w:t>Centrepoint Alliance</w:t>
    </w:r>
    <w:r>
      <w:rPr>
        <w:rStyle w:val="Companyfooter"/>
      </w:rPr>
      <w:t xml:space="preserve"> </w:t>
    </w:r>
    <w:sdt>
      <w:sdtPr>
        <w:alias w:val="Title"/>
        <w:tag w:val=""/>
        <w:id w:val="-1991162084"/>
        <w:dataBinding w:prefixMappings="xmlns:ns0='http://purl.org/dc/elements/1.1/' xmlns:ns1='http://schemas.openxmlformats.org/package/2006/metadata/core-properties' " w:xpath="/ns1:coreProperties[1]/ns0:title[1]" w:storeItemID="{6C3C8BC8-F283-45AE-878A-BAB7291924A1}"/>
        <w:text/>
      </w:sdtPr>
      <w:sdtEndPr/>
      <w:sdtContent>
        <w:r w:rsidR="000B65B4">
          <w:t>Monthly Market Update</w:t>
        </w:r>
      </w:sdtContent>
    </w:sdt>
    <w:r>
      <w:ptab w:relativeTo="margin" w:alignment="right" w:leader="none"/>
    </w:r>
    <w:r w:rsidRPr="00C40EAB">
      <w:fldChar w:fldCharType="begin"/>
    </w:r>
    <w:r w:rsidRPr="00C40EAB">
      <w:instrText xml:space="preserve"> PAGE   \* MERGEFORMAT </w:instrText>
    </w:r>
    <w:r w:rsidRPr="00C40EAB">
      <w:fldChar w:fldCharType="separate"/>
    </w:r>
    <w:r w:rsidRPr="00C40EAB">
      <w:t>1</w:t>
    </w:r>
    <w:r w:rsidRPr="00C40EA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6156" w14:textId="76F0A708" w:rsidR="00BD7B99" w:rsidRDefault="00BD7B99" w:rsidP="00DB2BEC">
    <w:pPr>
      <w:pStyle w:val="Footer"/>
    </w:pPr>
    <w:r w:rsidRPr="009C22BC">
      <w:rPr>
        <w:rStyle w:val="Companyfooter"/>
      </w:rPr>
      <w:t>Centrepoint Alliance</w:t>
    </w:r>
    <w:r w:rsidR="00DB2BEC">
      <w:rPr>
        <w:rStyle w:val="Companyfooter"/>
      </w:rPr>
      <w:t xml:space="preserve"> </w:t>
    </w:r>
    <w:sdt>
      <w:sdtPr>
        <w:alias w:val="Title"/>
        <w:tag w:val=""/>
        <w:id w:val="-784039253"/>
        <w:dataBinding w:prefixMappings="xmlns:ns0='http://purl.org/dc/elements/1.1/' xmlns:ns1='http://schemas.openxmlformats.org/package/2006/metadata/core-properties' " w:xpath="/ns1:coreProperties[1]/ns0:title[1]" w:storeItemID="{6C3C8BC8-F283-45AE-878A-BAB7291924A1}"/>
        <w:text/>
      </w:sdtPr>
      <w:sdtEndPr/>
      <w:sdtContent>
        <w:r w:rsidR="000B65B4">
          <w:t>Monthly Market Update</w:t>
        </w:r>
      </w:sdtContent>
    </w:sdt>
    <w:r>
      <w:ptab w:relativeTo="margin" w:alignment="right" w:leader="none"/>
    </w:r>
    <w:r w:rsidRPr="00C40EAB">
      <w:fldChar w:fldCharType="begin"/>
    </w:r>
    <w:r w:rsidRPr="00C40EAB">
      <w:instrText xml:space="preserve"> PAGE   \* MERGEFORMAT </w:instrText>
    </w:r>
    <w:r w:rsidRPr="00C40EAB">
      <w:fldChar w:fldCharType="separate"/>
    </w:r>
    <w:r w:rsidRPr="00C40EAB">
      <w:t>1</w:t>
    </w:r>
    <w:r w:rsidRPr="00C40EA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01A4A" w14:textId="77777777" w:rsidR="00487881" w:rsidRDefault="00487881" w:rsidP="008F222C">
      <w:r>
        <w:separator/>
      </w:r>
    </w:p>
  </w:footnote>
  <w:footnote w:type="continuationSeparator" w:id="0">
    <w:p w14:paraId="6755A565" w14:textId="77777777" w:rsidR="00487881" w:rsidRDefault="00487881" w:rsidP="008F2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548A" w14:textId="77777777" w:rsidR="0090718D" w:rsidRPr="005D073E" w:rsidRDefault="0090718D" w:rsidP="005D073E">
    <w:pPr>
      <w:pStyle w:val="Header"/>
    </w:pPr>
    <w:r>
      <w:rPr>
        <w:noProof/>
      </w:rPr>
      <w:drawing>
        <wp:anchor distT="0" distB="0" distL="114300" distR="114300" simplePos="0" relativeHeight="251662336" behindDoc="1" locked="1" layoutInCell="1" allowOverlap="1" wp14:anchorId="2C6AC91B" wp14:editId="17B1D2D3">
          <wp:simplePos x="0" y="0"/>
          <wp:positionH relativeFrom="page">
            <wp:align>left</wp:align>
          </wp:positionH>
          <wp:positionV relativeFrom="page">
            <wp:align>top</wp:align>
          </wp:positionV>
          <wp:extent cx="7560000" cy="1659600"/>
          <wp:effectExtent l="0" t="0" r="3175" b="0"/>
          <wp:wrapNone/>
          <wp:docPr id="28" name="Picture 2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ument header-01.png"/>
                  <pic:cNvPicPr/>
                </pic:nvPicPr>
                <pic:blipFill>
                  <a:blip r:embed="rId1"/>
                  <a:stretch>
                    <a:fillRect/>
                  </a:stretch>
                </pic:blipFill>
                <pic:spPr>
                  <a:xfrm>
                    <a:off x="0" y="0"/>
                    <a:ext cx="7560000" cy="165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97E6C82"/>
    <w:lvl w:ilvl="0">
      <w:start w:val="1"/>
      <w:numFmt w:val="lowerRoman"/>
      <w:pStyle w:val="ListNumber3"/>
      <w:lvlText w:val="%1."/>
      <w:lvlJc w:val="left"/>
      <w:pPr>
        <w:tabs>
          <w:tab w:val="num" w:pos="926"/>
        </w:tabs>
        <w:ind w:left="926" w:hanging="360"/>
      </w:pPr>
      <w:rPr>
        <w:rFonts w:hint="default"/>
      </w:rPr>
    </w:lvl>
  </w:abstractNum>
  <w:abstractNum w:abstractNumId="1" w15:restartNumberingAfterBreak="0">
    <w:nsid w:val="FFFFFF7F"/>
    <w:multiLevelType w:val="singleLevel"/>
    <w:tmpl w:val="700CD52C"/>
    <w:lvl w:ilvl="0">
      <w:start w:val="1"/>
      <w:numFmt w:val="lowerLetter"/>
      <w:pStyle w:val="ListNumber2"/>
      <w:lvlText w:val="%1."/>
      <w:lvlJc w:val="left"/>
      <w:pPr>
        <w:tabs>
          <w:tab w:val="num" w:pos="643"/>
        </w:tabs>
        <w:ind w:left="643" w:hanging="360"/>
      </w:pPr>
      <w:rPr>
        <w:rFonts w:hint="default"/>
      </w:rPr>
    </w:lvl>
  </w:abstractNum>
  <w:abstractNum w:abstractNumId="2" w15:restartNumberingAfterBreak="0">
    <w:nsid w:val="FFFFFF82"/>
    <w:multiLevelType w:val="singleLevel"/>
    <w:tmpl w:val="1C08BCEE"/>
    <w:lvl w:ilvl="0">
      <w:start w:val="1"/>
      <w:numFmt w:val="bullet"/>
      <w:lvlText w:val="–"/>
      <w:lvlJc w:val="left"/>
      <w:pPr>
        <w:ind w:left="680" w:hanging="226"/>
      </w:pPr>
      <w:rPr>
        <w:rFonts w:ascii="Arial" w:hAnsi="Arial" w:hint="default"/>
      </w:rPr>
    </w:lvl>
  </w:abstractNum>
  <w:abstractNum w:abstractNumId="3" w15:restartNumberingAfterBreak="0">
    <w:nsid w:val="FFFFFF83"/>
    <w:multiLevelType w:val="singleLevel"/>
    <w:tmpl w:val="A820607E"/>
    <w:lvl w:ilvl="0">
      <w:start w:val="1"/>
      <w:numFmt w:val="bullet"/>
      <w:lvlText w:val="–"/>
      <w:lvlJc w:val="left"/>
      <w:pPr>
        <w:ind w:left="454" w:hanging="227"/>
      </w:pPr>
      <w:rPr>
        <w:rFonts w:ascii="Arial" w:hAnsi="Arial" w:hint="default"/>
      </w:rPr>
    </w:lvl>
  </w:abstractNum>
  <w:abstractNum w:abstractNumId="4" w15:restartNumberingAfterBreak="0">
    <w:nsid w:val="FFFFFF88"/>
    <w:multiLevelType w:val="singleLevel"/>
    <w:tmpl w:val="D3A051F4"/>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ED36D3D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EC477B"/>
    <w:multiLevelType w:val="hybridMultilevel"/>
    <w:tmpl w:val="6AA264F4"/>
    <w:lvl w:ilvl="0" w:tplc="3C5C0572">
      <w:start w:val="1"/>
      <w:numFmt w:val="decimal"/>
      <w:lvlText w:val="%1."/>
      <w:lvlJc w:val="left"/>
      <w:pPr>
        <w:ind w:left="720" w:hanging="360"/>
      </w:pPr>
    </w:lvl>
    <w:lvl w:ilvl="1" w:tplc="070EF956">
      <w:start w:val="1"/>
      <w:numFmt w:val="bullet"/>
      <w:lvlText w:val=""/>
      <w:lvlJc w:val="left"/>
      <w:pPr>
        <w:ind w:left="1440" w:hanging="360"/>
      </w:pPr>
      <w:rPr>
        <w:rFonts w:ascii="Symbol" w:hAnsi="Symbol" w:hint="default"/>
      </w:rPr>
    </w:lvl>
    <w:lvl w:ilvl="2" w:tplc="5756F9C2">
      <w:start w:val="1"/>
      <w:numFmt w:val="bullet"/>
      <w:pStyle w:val="SubBulletPoints"/>
      <w:lvlText w:val="-"/>
      <w:lvlJc w:val="left"/>
      <w:pPr>
        <w:ind w:left="2160" w:hanging="180"/>
      </w:pPr>
      <w:rPr>
        <w:rFonts w:ascii="Arial" w:hAnsi="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5038D5"/>
    <w:multiLevelType w:val="multilevel"/>
    <w:tmpl w:val="BD4ECEF8"/>
    <w:lvl w:ilvl="0">
      <w:start w:val="1"/>
      <w:numFmt w:val="bullet"/>
      <w:pStyle w:val="ListBullet"/>
      <w:lvlText w:val=""/>
      <w:lvlJc w:val="left"/>
      <w:pPr>
        <w:ind w:left="227" w:hanging="227"/>
      </w:pPr>
      <w:rPr>
        <w:rFonts w:ascii="Symbol" w:hAnsi="Symbol" w:hint="default"/>
      </w:rPr>
    </w:lvl>
    <w:lvl w:ilvl="1">
      <w:start w:val="1"/>
      <w:numFmt w:val="bullet"/>
      <w:pStyle w:val="ListBullet2"/>
      <w:lvlText w:val="–"/>
      <w:lvlJc w:val="left"/>
      <w:pPr>
        <w:ind w:left="454" w:hanging="227"/>
      </w:pPr>
      <w:rPr>
        <w:rFonts w:ascii="Arial" w:hAnsi="Arial" w:hint="default"/>
      </w:rPr>
    </w:lvl>
    <w:lvl w:ilvl="2">
      <w:start w:val="1"/>
      <w:numFmt w:val="bullet"/>
      <w:pStyle w:val="ListBullet3"/>
      <w:lvlText w:val="–"/>
      <w:lvlJc w:val="left"/>
      <w:pPr>
        <w:ind w:left="680" w:hanging="226"/>
      </w:pPr>
      <w:rPr>
        <w:rFonts w:ascii="Arial" w:hAnsi="Arial"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5A97C20"/>
    <w:multiLevelType w:val="multilevel"/>
    <w:tmpl w:val="9546248C"/>
    <w:lvl w:ilvl="0">
      <w:start w:val="1"/>
      <w:numFmt w:val="upperLetter"/>
      <w:pStyle w:val="AppendixHeading1"/>
      <w:lvlText w:val="%1."/>
      <w:lvlJc w:val="left"/>
      <w:pPr>
        <w:ind w:left="425" w:hanging="425"/>
      </w:pPr>
      <w:rPr>
        <w:rFonts w:hint="default"/>
      </w:rPr>
    </w:lvl>
    <w:lvl w:ilvl="1">
      <w:start w:val="1"/>
      <w:numFmt w:val="decimal"/>
      <w:pStyle w:val="AppendixHeading2"/>
      <w:lvlText w:val="%1.%2"/>
      <w:lvlJc w:val="left"/>
      <w:pPr>
        <w:ind w:left="567" w:hanging="567"/>
      </w:pPr>
      <w:rPr>
        <w:rFonts w:hint="default"/>
      </w:rPr>
    </w:lvl>
    <w:lvl w:ilvl="2">
      <w:start w:val="1"/>
      <w:numFmt w:val="decimal"/>
      <w:pStyle w:val="AppendixHeading3"/>
      <w:lvlText w:val="%1.%2.%3"/>
      <w:lvlJc w:val="left"/>
      <w:pPr>
        <w:ind w:left="709" w:hanging="709"/>
      </w:pPr>
      <w:rPr>
        <w:rFonts w:hint="default"/>
      </w:rPr>
    </w:lvl>
    <w:lvl w:ilvl="3">
      <w:start w:val="1"/>
      <w:numFmt w:val="decimal"/>
      <w:pStyle w:val="AppendixHeading4"/>
      <w:lvlText w:val="%1.%2.%3.%4"/>
      <w:lvlJc w:val="left"/>
      <w:pPr>
        <w:ind w:left="851" w:hanging="851"/>
      </w:pPr>
      <w:rPr>
        <w:rFonts w:hint="default"/>
      </w:rPr>
    </w:lvl>
    <w:lvl w:ilvl="4">
      <w:start w:val="1"/>
      <w:numFmt w:val="decimal"/>
      <w:pStyle w:val="AppendixHeading5"/>
      <w:lvlText w:val="%1.%2.%3.%4.%5"/>
      <w:lvlJc w:val="left"/>
      <w:pPr>
        <w:ind w:left="992" w:hanging="992"/>
      </w:pPr>
      <w:rPr>
        <w:rFonts w:hint="default"/>
      </w:rPr>
    </w:lvl>
    <w:lvl w:ilvl="5">
      <w:start w:val="1"/>
      <w:numFmt w:val="decimal"/>
      <w:pStyle w:val="AppendixHeading6"/>
      <w:lvlText w:val="%1.%2.%3.%4.%5.%6"/>
      <w:lvlJc w:val="left"/>
      <w:pPr>
        <w:ind w:left="1134" w:hanging="1134"/>
      </w:pPr>
      <w:rPr>
        <w:rFonts w:hint="default"/>
      </w:rPr>
    </w:lvl>
    <w:lvl w:ilvl="6">
      <w:start w:val="1"/>
      <w:numFmt w:val="lowerLetter"/>
      <w:pStyle w:val="AppendixPara1"/>
      <w:lvlText w:val="%7."/>
      <w:lvlJc w:val="left"/>
      <w:pPr>
        <w:ind w:left="227" w:hanging="227"/>
      </w:pPr>
      <w:rPr>
        <w:rFonts w:hint="default"/>
      </w:rPr>
    </w:lvl>
    <w:lvl w:ilvl="7">
      <w:start w:val="1"/>
      <w:numFmt w:val="lowerRoman"/>
      <w:pStyle w:val="AppendixPara2"/>
      <w:lvlText w:val="%8."/>
      <w:lvlJc w:val="left"/>
      <w:pPr>
        <w:ind w:left="454" w:hanging="227"/>
      </w:pPr>
      <w:rPr>
        <w:rFonts w:hint="default"/>
      </w:rPr>
    </w:lvl>
    <w:lvl w:ilvl="8">
      <w:start w:val="1"/>
      <w:numFmt w:val="upperLetter"/>
      <w:pStyle w:val="AppendixPara3"/>
      <w:lvlText w:val="%9."/>
      <w:lvlJc w:val="left"/>
      <w:pPr>
        <w:ind w:left="680" w:hanging="226"/>
      </w:pPr>
      <w:rPr>
        <w:rFonts w:hint="default"/>
      </w:rPr>
    </w:lvl>
  </w:abstractNum>
  <w:abstractNum w:abstractNumId="9" w15:restartNumberingAfterBreak="0">
    <w:nsid w:val="3CAA0149"/>
    <w:multiLevelType w:val="multilevel"/>
    <w:tmpl w:val="CFE63616"/>
    <w:lvl w:ilvl="0">
      <w:start w:val="1"/>
      <w:numFmt w:val="none"/>
      <w:pStyle w:val="Tablenotesorsource"/>
      <w:suff w:val="nothing"/>
      <w:lvlText w:val="%1"/>
      <w:lvlJc w:val="left"/>
      <w:pPr>
        <w:ind w:left="0" w:firstLine="0"/>
      </w:pPr>
      <w:rPr>
        <w:rFonts w:hint="default"/>
      </w:rPr>
    </w:lvl>
    <w:lvl w:ilvl="1">
      <w:start w:val="1"/>
      <w:numFmt w:val="decimal"/>
      <w:pStyle w:val="Tablenotenumbers"/>
      <w:lvlText w:val="%2."/>
      <w:lvlJc w:val="left"/>
      <w:pPr>
        <w:ind w:left="357" w:hanging="357"/>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70A544F8"/>
    <w:multiLevelType w:val="multilevel"/>
    <w:tmpl w:val="DA4E648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lowerLetter"/>
      <w:lvlText w:val="%7."/>
      <w:lvlJc w:val="left"/>
      <w:pPr>
        <w:ind w:left="227" w:hanging="227"/>
      </w:pPr>
      <w:rPr>
        <w:rFonts w:hint="default"/>
      </w:rPr>
    </w:lvl>
    <w:lvl w:ilvl="7">
      <w:start w:val="1"/>
      <w:numFmt w:val="lowerRoman"/>
      <w:lvlText w:val="%8."/>
      <w:lvlJc w:val="left"/>
      <w:pPr>
        <w:tabs>
          <w:tab w:val="num" w:pos="357"/>
        </w:tabs>
        <w:ind w:left="454" w:hanging="227"/>
      </w:pPr>
      <w:rPr>
        <w:rFonts w:hint="default"/>
      </w:rPr>
    </w:lvl>
    <w:lvl w:ilvl="8">
      <w:start w:val="1"/>
      <w:numFmt w:val="upperLetter"/>
      <w:lvlText w:val="%9."/>
      <w:lvlJc w:val="left"/>
      <w:pPr>
        <w:ind w:left="680" w:hanging="226"/>
      </w:pPr>
      <w:rPr>
        <w:rFonts w:hint="default"/>
      </w:rPr>
    </w:lvl>
  </w:abstractNum>
  <w:abstractNum w:abstractNumId="11" w15:restartNumberingAfterBreak="0">
    <w:nsid w:val="71C552B8"/>
    <w:multiLevelType w:val="multilevel"/>
    <w:tmpl w:val="5ED47EA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lowerLetter"/>
      <w:lvlText w:val="%7."/>
      <w:lvlJc w:val="left"/>
      <w:pPr>
        <w:ind w:left="357" w:hanging="357"/>
      </w:pPr>
      <w:rPr>
        <w:rFonts w:hint="default"/>
      </w:rPr>
    </w:lvl>
    <w:lvl w:ilvl="7">
      <w:start w:val="1"/>
      <w:numFmt w:val="lowerRoman"/>
      <w:lvlText w:val="%8."/>
      <w:lvlJc w:val="left"/>
      <w:pPr>
        <w:tabs>
          <w:tab w:val="num" w:pos="357"/>
        </w:tabs>
        <w:ind w:left="714" w:hanging="357"/>
      </w:pPr>
      <w:rPr>
        <w:rFonts w:hint="default"/>
      </w:rPr>
    </w:lvl>
    <w:lvl w:ilvl="8">
      <w:start w:val="1"/>
      <w:numFmt w:val="upperLetter"/>
      <w:lvlText w:val="%9."/>
      <w:lvlJc w:val="left"/>
      <w:pPr>
        <w:ind w:left="1072" w:hanging="358"/>
      </w:pPr>
      <w:rPr>
        <w:rFonts w:hint="default"/>
      </w:rPr>
    </w:lvl>
  </w:abstractNum>
  <w:abstractNum w:abstractNumId="12" w15:restartNumberingAfterBreak="0">
    <w:nsid w:val="7F047E28"/>
    <w:multiLevelType w:val="multilevel"/>
    <w:tmpl w:val="6C323E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lowerLetter"/>
      <w:pStyle w:val="Subpara1"/>
      <w:lvlText w:val="%7."/>
      <w:lvlJc w:val="left"/>
      <w:pPr>
        <w:ind w:left="227" w:hanging="227"/>
      </w:pPr>
      <w:rPr>
        <w:rFonts w:hint="default"/>
      </w:rPr>
    </w:lvl>
    <w:lvl w:ilvl="7">
      <w:start w:val="1"/>
      <w:numFmt w:val="lowerRoman"/>
      <w:pStyle w:val="Subpara2"/>
      <w:lvlText w:val="%8."/>
      <w:lvlJc w:val="left"/>
      <w:pPr>
        <w:ind w:left="454" w:hanging="227"/>
      </w:pPr>
      <w:rPr>
        <w:rFonts w:hint="default"/>
      </w:rPr>
    </w:lvl>
    <w:lvl w:ilvl="8">
      <w:start w:val="1"/>
      <w:numFmt w:val="upperLetter"/>
      <w:pStyle w:val="Subpara3"/>
      <w:lvlText w:val="%9."/>
      <w:lvlJc w:val="left"/>
      <w:pPr>
        <w:ind w:left="680" w:hanging="226"/>
      </w:pPr>
      <w:rPr>
        <w:rFonts w:hint="default"/>
      </w:rPr>
    </w:lvl>
  </w:abstractNum>
  <w:num w:numId="1" w16cid:durableId="36127460">
    <w:abstractNumId w:val="7"/>
  </w:num>
  <w:num w:numId="2" w16cid:durableId="823281215">
    <w:abstractNumId w:val="5"/>
  </w:num>
  <w:num w:numId="3" w16cid:durableId="1091270323">
    <w:abstractNumId w:val="3"/>
  </w:num>
  <w:num w:numId="4" w16cid:durableId="1997412057">
    <w:abstractNumId w:val="2"/>
  </w:num>
  <w:num w:numId="5" w16cid:durableId="1240675140">
    <w:abstractNumId w:val="3"/>
    <w:lvlOverride w:ilvl="0">
      <w:startOverride w:val="1"/>
    </w:lvlOverride>
  </w:num>
  <w:num w:numId="6" w16cid:durableId="808400330">
    <w:abstractNumId w:val="2"/>
    <w:lvlOverride w:ilvl="0">
      <w:startOverride w:val="1"/>
    </w:lvlOverride>
  </w:num>
  <w:num w:numId="7" w16cid:durableId="1257905689">
    <w:abstractNumId w:val="3"/>
    <w:lvlOverride w:ilvl="0">
      <w:startOverride w:val="1"/>
    </w:lvlOverride>
  </w:num>
  <w:num w:numId="8" w16cid:durableId="1052458320">
    <w:abstractNumId w:val="2"/>
    <w:lvlOverride w:ilvl="0">
      <w:startOverride w:val="1"/>
    </w:lvlOverride>
  </w:num>
  <w:num w:numId="9" w16cid:durableId="1023281634">
    <w:abstractNumId w:val="7"/>
    <w:lvlOverride w:ilvl="0">
      <w:startOverride w:val="1"/>
    </w:lvlOverride>
  </w:num>
  <w:num w:numId="10" w16cid:durableId="826941343">
    <w:abstractNumId w:val="3"/>
    <w:lvlOverride w:ilvl="0">
      <w:startOverride w:val="1"/>
    </w:lvlOverride>
  </w:num>
  <w:num w:numId="11" w16cid:durableId="1306661366">
    <w:abstractNumId w:val="2"/>
    <w:lvlOverride w:ilvl="0">
      <w:startOverride w:val="1"/>
    </w:lvlOverride>
  </w:num>
  <w:num w:numId="12" w16cid:durableId="7832336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4091069">
    <w:abstractNumId w:val="10"/>
  </w:num>
  <w:num w:numId="14" w16cid:durableId="1320302545">
    <w:abstractNumId w:val="9"/>
  </w:num>
  <w:num w:numId="15" w16cid:durableId="1098528405">
    <w:abstractNumId w:val="4"/>
  </w:num>
  <w:num w:numId="16" w16cid:durableId="1028142583">
    <w:abstractNumId w:val="4"/>
  </w:num>
  <w:num w:numId="17" w16cid:durableId="1431075494">
    <w:abstractNumId w:val="1"/>
  </w:num>
  <w:num w:numId="18" w16cid:durableId="871184216">
    <w:abstractNumId w:val="1"/>
  </w:num>
  <w:num w:numId="19" w16cid:durableId="1057782673">
    <w:abstractNumId w:val="0"/>
  </w:num>
  <w:num w:numId="20" w16cid:durableId="2132091694">
    <w:abstractNumId w:val="0"/>
  </w:num>
  <w:num w:numId="21" w16cid:durableId="69739101">
    <w:abstractNumId w:val="11"/>
  </w:num>
  <w:num w:numId="22" w16cid:durableId="94449275">
    <w:abstractNumId w:val="12"/>
  </w:num>
  <w:num w:numId="23" w16cid:durableId="1986424976">
    <w:abstractNumId w:val="8"/>
  </w:num>
  <w:num w:numId="24" w16cid:durableId="790319155">
    <w:abstractNumId w:val="12"/>
  </w:num>
  <w:num w:numId="25" w16cid:durableId="1464499153">
    <w:abstractNumId w:val="8"/>
  </w:num>
  <w:num w:numId="26" w16cid:durableId="70548942">
    <w:abstractNumId w:val="12"/>
  </w:num>
  <w:num w:numId="27" w16cid:durableId="112209688">
    <w:abstractNumId w:val="8"/>
  </w:num>
  <w:num w:numId="28" w16cid:durableId="1711877232">
    <w:abstractNumId w:val="12"/>
  </w:num>
  <w:num w:numId="29" w16cid:durableId="1275746403">
    <w:abstractNumId w:val="8"/>
  </w:num>
  <w:num w:numId="30" w16cid:durableId="1611815769">
    <w:abstractNumId w:val="12"/>
  </w:num>
  <w:num w:numId="31" w16cid:durableId="506946414">
    <w:abstractNumId w:val="8"/>
  </w:num>
  <w:num w:numId="32" w16cid:durableId="921527027">
    <w:abstractNumId w:val="12"/>
  </w:num>
  <w:num w:numId="33" w16cid:durableId="1311249873">
    <w:abstractNumId w:val="8"/>
  </w:num>
  <w:num w:numId="34" w16cid:durableId="161166364">
    <w:abstractNumId w:val="8"/>
  </w:num>
  <w:num w:numId="35" w16cid:durableId="2019035004">
    <w:abstractNumId w:val="8"/>
  </w:num>
  <w:num w:numId="36" w16cid:durableId="1028532018">
    <w:abstractNumId w:val="8"/>
  </w:num>
  <w:num w:numId="37" w16cid:durableId="342124611">
    <w:abstractNumId w:val="7"/>
  </w:num>
  <w:num w:numId="38" w16cid:durableId="807740817">
    <w:abstractNumId w:val="7"/>
  </w:num>
  <w:num w:numId="39" w16cid:durableId="715590518">
    <w:abstractNumId w:val="7"/>
  </w:num>
  <w:num w:numId="40" w16cid:durableId="767699940">
    <w:abstractNumId w:val="4"/>
  </w:num>
  <w:num w:numId="41" w16cid:durableId="722099647">
    <w:abstractNumId w:val="1"/>
  </w:num>
  <w:num w:numId="42" w16cid:durableId="1856846102">
    <w:abstractNumId w:val="0"/>
  </w:num>
  <w:num w:numId="43" w16cid:durableId="372585308">
    <w:abstractNumId w:val="12"/>
  </w:num>
  <w:num w:numId="44" w16cid:durableId="1579168091">
    <w:abstractNumId w:val="12"/>
  </w:num>
  <w:num w:numId="45" w16cid:durableId="859664975">
    <w:abstractNumId w:val="12"/>
  </w:num>
  <w:num w:numId="46" w16cid:durableId="1901481201">
    <w:abstractNumId w:val="9"/>
  </w:num>
  <w:num w:numId="47" w16cid:durableId="1171678996">
    <w:abstractNumId w:val="9"/>
  </w:num>
  <w:num w:numId="48" w16cid:durableId="13552294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A472F1"/>
    <w:rsid w:val="00006E52"/>
    <w:rsid w:val="00011A83"/>
    <w:rsid w:val="00014851"/>
    <w:rsid w:val="0002364A"/>
    <w:rsid w:val="00026794"/>
    <w:rsid w:val="00031AA9"/>
    <w:rsid w:val="000320E8"/>
    <w:rsid w:val="00052020"/>
    <w:rsid w:val="00053AF0"/>
    <w:rsid w:val="00066ABD"/>
    <w:rsid w:val="00067E1F"/>
    <w:rsid w:val="00071D96"/>
    <w:rsid w:val="0009222C"/>
    <w:rsid w:val="000A678B"/>
    <w:rsid w:val="000A7827"/>
    <w:rsid w:val="000B605C"/>
    <w:rsid w:val="000B65B4"/>
    <w:rsid w:val="000B678A"/>
    <w:rsid w:val="000B7663"/>
    <w:rsid w:val="000C04DC"/>
    <w:rsid w:val="000D17D7"/>
    <w:rsid w:val="000D40C4"/>
    <w:rsid w:val="000D6691"/>
    <w:rsid w:val="000D7492"/>
    <w:rsid w:val="000E31A4"/>
    <w:rsid w:val="000E6C62"/>
    <w:rsid w:val="000F2B80"/>
    <w:rsid w:val="001038A5"/>
    <w:rsid w:val="001102B0"/>
    <w:rsid w:val="00121F25"/>
    <w:rsid w:val="00122284"/>
    <w:rsid w:val="00125533"/>
    <w:rsid w:val="00126B75"/>
    <w:rsid w:val="00127B18"/>
    <w:rsid w:val="00136106"/>
    <w:rsid w:val="00171E18"/>
    <w:rsid w:val="00182F08"/>
    <w:rsid w:val="0018513F"/>
    <w:rsid w:val="00192774"/>
    <w:rsid w:val="00193992"/>
    <w:rsid w:val="001A07D4"/>
    <w:rsid w:val="001A6FC5"/>
    <w:rsid w:val="001B3F68"/>
    <w:rsid w:val="001B7D46"/>
    <w:rsid w:val="001C2C77"/>
    <w:rsid w:val="001D01EC"/>
    <w:rsid w:val="001D5FBD"/>
    <w:rsid w:val="001E0A33"/>
    <w:rsid w:val="001E1E31"/>
    <w:rsid w:val="001E312C"/>
    <w:rsid w:val="001E4462"/>
    <w:rsid w:val="001E55E2"/>
    <w:rsid w:val="001F0240"/>
    <w:rsid w:val="001F5FE4"/>
    <w:rsid w:val="002079C3"/>
    <w:rsid w:val="002113AB"/>
    <w:rsid w:val="00220542"/>
    <w:rsid w:val="00223BB4"/>
    <w:rsid w:val="002313CB"/>
    <w:rsid w:val="002344C5"/>
    <w:rsid w:val="00240669"/>
    <w:rsid w:val="00241542"/>
    <w:rsid w:val="0024796A"/>
    <w:rsid w:val="00253DF2"/>
    <w:rsid w:val="0025665E"/>
    <w:rsid w:val="002574EF"/>
    <w:rsid w:val="002629BD"/>
    <w:rsid w:val="00271C8D"/>
    <w:rsid w:val="00275B03"/>
    <w:rsid w:val="00291C92"/>
    <w:rsid w:val="00292E5C"/>
    <w:rsid w:val="002974C4"/>
    <w:rsid w:val="002A34C1"/>
    <w:rsid w:val="002A5AF4"/>
    <w:rsid w:val="002A6386"/>
    <w:rsid w:val="002A699A"/>
    <w:rsid w:val="002B4051"/>
    <w:rsid w:val="002B5E02"/>
    <w:rsid w:val="002B6AF5"/>
    <w:rsid w:val="002D63C5"/>
    <w:rsid w:val="002D64EA"/>
    <w:rsid w:val="002E79AB"/>
    <w:rsid w:val="002F7382"/>
    <w:rsid w:val="003012E3"/>
    <w:rsid w:val="003058F2"/>
    <w:rsid w:val="00312632"/>
    <w:rsid w:val="00323B07"/>
    <w:rsid w:val="003244A7"/>
    <w:rsid w:val="00331696"/>
    <w:rsid w:val="003327B3"/>
    <w:rsid w:val="00334C3A"/>
    <w:rsid w:val="0035079A"/>
    <w:rsid w:val="00363239"/>
    <w:rsid w:val="003641AD"/>
    <w:rsid w:val="003668AF"/>
    <w:rsid w:val="00391D78"/>
    <w:rsid w:val="00393CEC"/>
    <w:rsid w:val="003A0372"/>
    <w:rsid w:val="003A255D"/>
    <w:rsid w:val="003B0931"/>
    <w:rsid w:val="003B25C2"/>
    <w:rsid w:val="003C04A9"/>
    <w:rsid w:val="003C0D30"/>
    <w:rsid w:val="003D187F"/>
    <w:rsid w:val="003E035A"/>
    <w:rsid w:val="003E6DA4"/>
    <w:rsid w:val="003F253D"/>
    <w:rsid w:val="003F7858"/>
    <w:rsid w:val="00401BAD"/>
    <w:rsid w:val="004112FB"/>
    <w:rsid w:val="00412140"/>
    <w:rsid w:val="0041521E"/>
    <w:rsid w:val="00424A85"/>
    <w:rsid w:val="00441E66"/>
    <w:rsid w:val="00443CB5"/>
    <w:rsid w:val="00450FAB"/>
    <w:rsid w:val="004572D9"/>
    <w:rsid w:val="00464EF0"/>
    <w:rsid w:val="004817AD"/>
    <w:rsid w:val="00487881"/>
    <w:rsid w:val="0049004C"/>
    <w:rsid w:val="00494E1C"/>
    <w:rsid w:val="004C21AF"/>
    <w:rsid w:val="004C7A6F"/>
    <w:rsid w:val="004D004D"/>
    <w:rsid w:val="004E146A"/>
    <w:rsid w:val="004E533B"/>
    <w:rsid w:val="004E6571"/>
    <w:rsid w:val="004E6AB7"/>
    <w:rsid w:val="004F7721"/>
    <w:rsid w:val="004F78EB"/>
    <w:rsid w:val="0051113D"/>
    <w:rsid w:val="00514801"/>
    <w:rsid w:val="00517415"/>
    <w:rsid w:val="00520FFC"/>
    <w:rsid w:val="0052142D"/>
    <w:rsid w:val="0052196B"/>
    <w:rsid w:val="00542056"/>
    <w:rsid w:val="0055272C"/>
    <w:rsid w:val="005552E3"/>
    <w:rsid w:val="005601BB"/>
    <w:rsid w:val="00561811"/>
    <w:rsid w:val="00567195"/>
    <w:rsid w:val="0056763B"/>
    <w:rsid w:val="00570AF4"/>
    <w:rsid w:val="005849D2"/>
    <w:rsid w:val="00587045"/>
    <w:rsid w:val="0059107A"/>
    <w:rsid w:val="00591434"/>
    <w:rsid w:val="005A5D2B"/>
    <w:rsid w:val="005A7969"/>
    <w:rsid w:val="005B0A78"/>
    <w:rsid w:val="005D073E"/>
    <w:rsid w:val="005D3223"/>
    <w:rsid w:val="005E5032"/>
    <w:rsid w:val="005E7BF7"/>
    <w:rsid w:val="005F142F"/>
    <w:rsid w:val="005F1626"/>
    <w:rsid w:val="005F1674"/>
    <w:rsid w:val="00606C86"/>
    <w:rsid w:val="00611F35"/>
    <w:rsid w:val="00617AB1"/>
    <w:rsid w:val="006208DD"/>
    <w:rsid w:val="00621B67"/>
    <w:rsid w:val="0063117F"/>
    <w:rsid w:val="00633192"/>
    <w:rsid w:val="00635A87"/>
    <w:rsid w:val="00642545"/>
    <w:rsid w:val="0064424F"/>
    <w:rsid w:val="0064570E"/>
    <w:rsid w:val="006564A0"/>
    <w:rsid w:val="00661505"/>
    <w:rsid w:val="00673FDC"/>
    <w:rsid w:val="00674CAD"/>
    <w:rsid w:val="006768A5"/>
    <w:rsid w:val="006772D8"/>
    <w:rsid w:val="006776C5"/>
    <w:rsid w:val="0068591D"/>
    <w:rsid w:val="006A53C5"/>
    <w:rsid w:val="006A77D7"/>
    <w:rsid w:val="006B5E8E"/>
    <w:rsid w:val="006C2166"/>
    <w:rsid w:val="006C4C78"/>
    <w:rsid w:val="006C4D5D"/>
    <w:rsid w:val="006C5E87"/>
    <w:rsid w:val="006D7557"/>
    <w:rsid w:val="006F055E"/>
    <w:rsid w:val="006F2296"/>
    <w:rsid w:val="006F276F"/>
    <w:rsid w:val="007015E8"/>
    <w:rsid w:val="0070431C"/>
    <w:rsid w:val="00711513"/>
    <w:rsid w:val="00725E1D"/>
    <w:rsid w:val="00735DCC"/>
    <w:rsid w:val="00736146"/>
    <w:rsid w:val="00746408"/>
    <w:rsid w:val="00763E9D"/>
    <w:rsid w:val="00766849"/>
    <w:rsid w:val="00770507"/>
    <w:rsid w:val="00771224"/>
    <w:rsid w:val="007777B6"/>
    <w:rsid w:val="00780CBF"/>
    <w:rsid w:val="007810CB"/>
    <w:rsid w:val="00783AF7"/>
    <w:rsid w:val="0078778C"/>
    <w:rsid w:val="007A6C26"/>
    <w:rsid w:val="007C0B7A"/>
    <w:rsid w:val="007C2A40"/>
    <w:rsid w:val="007C2E13"/>
    <w:rsid w:val="007C3AC2"/>
    <w:rsid w:val="007C6C6A"/>
    <w:rsid w:val="007E0FF3"/>
    <w:rsid w:val="007E1140"/>
    <w:rsid w:val="007E2412"/>
    <w:rsid w:val="007F17FB"/>
    <w:rsid w:val="007F4093"/>
    <w:rsid w:val="007F469A"/>
    <w:rsid w:val="007F662A"/>
    <w:rsid w:val="00800587"/>
    <w:rsid w:val="00800C94"/>
    <w:rsid w:val="008034FB"/>
    <w:rsid w:val="00803BF8"/>
    <w:rsid w:val="008117D6"/>
    <w:rsid w:val="00825028"/>
    <w:rsid w:val="0083041D"/>
    <w:rsid w:val="00832099"/>
    <w:rsid w:val="00835221"/>
    <w:rsid w:val="00836884"/>
    <w:rsid w:val="00841E09"/>
    <w:rsid w:val="008431FE"/>
    <w:rsid w:val="00845BDD"/>
    <w:rsid w:val="0084715D"/>
    <w:rsid w:val="00855D7C"/>
    <w:rsid w:val="008577E8"/>
    <w:rsid w:val="00857E03"/>
    <w:rsid w:val="00865D09"/>
    <w:rsid w:val="00866013"/>
    <w:rsid w:val="0087433D"/>
    <w:rsid w:val="00881D34"/>
    <w:rsid w:val="00883F13"/>
    <w:rsid w:val="00895206"/>
    <w:rsid w:val="008B4D0A"/>
    <w:rsid w:val="008B6502"/>
    <w:rsid w:val="008B7BA5"/>
    <w:rsid w:val="008D3F90"/>
    <w:rsid w:val="008E4B8B"/>
    <w:rsid w:val="008F222C"/>
    <w:rsid w:val="008F2425"/>
    <w:rsid w:val="00901CC1"/>
    <w:rsid w:val="00901F60"/>
    <w:rsid w:val="00904D26"/>
    <w:rsid w:val="0090718D"/>
    <w:rsid w:val="00910BDC"/>
    <w:rsid w:val="00914D09"/>
    <w:rsid w:val="00920B8A"/>
    <w:rsid w:val="00920C8E"/>
    <w:rsid w:val="0092779E"/>
    <w:rsid w:val="009360B7"/>
    <w:rsid w:val="00952397"/>
    <w:rsid w:val="00966519"/>
    <w:rsid w:val="0097231C"/>
    <w:rsid w:val="009732CB"/>
    <w:rsid w:val="00975B15"/>
    <w:rsid w:val="00995633"/>
    <w:rsid w:val="009B223B"/>
    <w:rsid w:val="009B2D9B"/>
    <w:rsid w:val="009B648C"/>
    <w:rsid w:val="009B6D7A"/>
    <w:rsid w:val="009B7F3B"/>
    <w:rsid w:val="009C22BC"/>
    <w:rsid w:val="009C392D"/>
    <w:rsid w:val="009D5E92"/>
    <w:rsid w:val="009F5A95"/>
    <w:rsid w:val="009F63A6"/>
    <w:rsid w:val="00A02F22"/>
    <w:rsid w:val="00A04532"/>
    <w:rsid w:val="00A047EB"/>
    <w:rsid w:val="00A1012A"/>
    <w:rsid w:val="00A22F0F"/>
    <w:rsid w:val="00A472F1"/>
    <w:rsid w:val="00A47758"/>
    <w:rsid w:val="00A5358E"/>
    <w:rsid w:val="00A55694"/>
    <w:rsid w:val="00A67A25"/>
    <w:rsid w:val="00A920D3"/>
    <w:rsid w:val="00A93141"/>
    <w:rsid w:val="00A96BAA"/>
    <w:rsid w:val="00AA2F38"/>
    <w:rsid w:val="00AA3366"/>
    <w:rsid w:val="00AA58D9"/>
    <w:rsid w:val="00AC4007"/>
    <w:rsid w:val="00AD2DAA"/>
    <w:rsid w:val="00AD4E34"/>
    <w:rsid w:val="00AD6C4F"/>
    <w:rsid w:val="00AE156D"/>
    <w:rsid w:val="00AE4BE8"/>
    <w:rsid w:val="00AE6017"/>
    <w:rsid w:val="00AF3308"/>
    <w:rsid w:val="00AF3BBC"/>
    <w:rsid w:val="00AF59E5"/>
    <w:rsid w:val="00AF5CF5"/>
    <w:rsid w:val="00B01B9F"/>
    <w:rsid w:val="00B04FDB"/>
    <w:rsid w:val="00B06470"/>
    <w:rsid w:val="00B14981"/>
    <w:rsid w:val="00B150EA"/>
    <w:rsid w:val="00B3185E"/>
    <w:rsid w:val="00B320AB"/>
    <w:rsid w:val="00B449F0"/>
    <w:rsid w:val="00B47B2C"/>
    <w:rsid w:val="00B60611"/>
    <w:rsid w:val="00B641E3"/>
    <w:rsid w:val="00B705F4"/>
    <w:rsid w:val="00B76E2F"/>
    <w:rsid w:val="00B80CFB"/>
    <w:rsid w:val="00B81AA6"/>
    <w:rsid w:val="00B918EC"/>
    <w:rsid w:val="00B91B9D"/>
    <w:rsid w:val="00BA7208"/>
    <w:rsid w:val="00BB03C9"/>
    <w:rsid w:val="00BB7145"/>
    <w:rsid w:val="00BC7174"/>
    <w:rsid w:val="00BD21D9"/>
    <w:rsid w:val="00BD758F"/>
    <w:rsid w:val="00BD7B99"/>
    <w:rsid w:val="00BE1F82"/>
    <w:rsid w:val="00BF1F32"/>
    <w:rsid w:val="00C065E7"/>
    <w:rsid w:val="00C172AF"/>
    <w:rsid w:val="00C2671B"/>
    <w:rsid w:val="00C3477C"/>
    <w:rsid w:val="00C35295"/>
    <w:rsid w:val="00C404FE"/>
    <w:rsid w:val="00C40EAB"/>
    <w:rsid w:val="00C67F5F"/>
    <w:rsid w:val="00C7429C"/>
    <w:rsid w:val="00C80E5B"/>
    <w:rsid w:val="00C9183E"/>
    <w:rsid w:val="00C94431"/>
    <w:rsid w:val="00CA2FC7"/>
    <w:rsid w:val="00CA55E2"/>
    <w:rsid w:val="00CB2680"/>
    <w:rsid w:val="00CC21D4"/>
    <w:rsid w:val="00CD4CD4"/>
    <w:rsid w:val="00CF2C31"/>
    <w:rsid w:val="00D02827"/>
    <w:rsid w:val="00D1184B"/>
    <w:rsid w:val="00D13790"/>
    <w:rsid w:val="00D20EB0"/>
    <w:rsid w:val="00D45B9E"/>
    <w:rsid w:val="00D55A18"/>
    <w:rsid w:val="00D83FD8"/>
    <w:rsid w:val="00D901AF"/>
    <w:rsid w:val="00D914C5"/>
    <w:rsid w:val="00D947BE"/>
    <w:rsid w:val="00DA6439"/>
    <w:rsid w:val="00DB2BEC"/>
    <w:rsid w:val="00DB3E94"/>
    <w:rsid w:val="00DB5D3A"/>
    <w:rsid w:val="00DC66D0"/>
    <w:rsid w:val="00DD0FF7"/>
    <w:rsid w:val="00DD167D"/>
    <w:rsid w:val="00DD62BF"/>
    <w:rsid w:val="00DE0EA9"/>
    <w:rsid w:val="00DE2736"/>
    <w:rsid w:val="00DE2C6C"/>
    <w:rsid w:val="00DF05A4"/>
    <w:rsid w:val="00E1506D"/>
    <w:rsid w:val="00E15856"/>
    <w:rsid w:val="00E2586A"/>
    <w:rsid w:val="00E27398"/>
    <w:rsid w:val="00E31982"/>
    <w:rsid w:val="00E37E57"/>
    <w:rsid w:val="00E540C8"/>
    <w:rsid w:val="00E625F5"/>
    <w:rsid w:val="00E7692E"/>
    <w:rsid w:val="00E8725A"/>
    <w:rsid w:val="00E87EFF"/>
    <w:rsid w:val="00E92366"/>
    <w:rsid w:val="00EA614C"/>
    <w:rsid w:val="00EA7FAD"/>
    <w:rsid w:val="00EB2899"/>
    <w:rsid w:val="00EB66A1"/>
    <w:rsid w:val="00EC0E03"/>
    <w:rsid w:val="00EC1896"/>
    <w:rsid w:val="00EC1B41"/>
    <w:rsid w:val="00EC3D49"/>
    <w:rsid w:val="00EC4E2E"/>
    <w:rsid w:val="00ED239F"/>
    <w:rsid w:val="00ED3F03"/>
    <w:rsid w:val="00EE672D"/>
    <w:rsid w:val="00EF3678"/>
    <w:rsid w:val="00F0138F"/>
    <w:rsid w:val="00F0314E"/>
    <w:rsid w:val="00F0379A"/>
    <w:rsid w:val="00F03AF9"/>
    <w:rsid w:val="00F11169"/>
    <w:rsid w:val="00F31838"/>
    <w:rsid w:val="00F36580"/>
    <w:rsid w:val="00F43CAB"/>
    <w:rsid w:val="00F44506"/>
    <w:rsid w:val="00F4490F"/>
    <w:rsid w:val="00F61BA7"/>
    <w:rsid w:val="00F63BF1"/>
    <w:rsid w:val="00F64D3D"/>
    <w:rsid w:val="00F650A6"/>
    <w:rsid w:val="00F7666D"/>
    <w:rsid w:val="00F76E76"/>
    <w:rsid w:val="00F9299C"/>
    <w:rsid w:val="00F94E96"/>
    <w:rsid w:val="00F94F21"/>
    <w:rsid w:val="00F95039"/>
    <w:rsid w:val="00FA2BA2"/>
    <w:rsid w:val="00FB298C"/>
    <w:rsid w:val="00FB5FAB"/>
    <w:rsid w:val="00FD706A"/>
    <w:rsid w:val="00FE6457"/>
    <w:rsid w:val="00FF70C7"/>
    <w:rsid w:val="00FF7751"/>
    <w:rsid w:val="00FF7E7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24CDFB"/>
  <w15:chartTrackingRefBased/>
  <w15:docId w15:val="{6EE4A2E9-375E-4E57-A065-003B9C8D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C2166"/>
    <w:pPr>
      <w:spacing w:before="160" w:after="0" w:line="312" w:lineRule="auto"/>
    </w:pPr>
    <w:rPr>
      <w:sz w:val="20"/>
      <w:szCs w:val="18"/>
      <w:lang w:val="en-GB"/>
    </w:rPr>
  </w:style>
  <w:style w:type="paragraph" w:styleId="Heading1">
    <w:name w:val="heading 1"/>
    <w:aliases w:val="Num Heading 1"/>
    <w:basedOn w:val="Normal"/>
    <w:next w:val="Normal"/>
    <w:link w:val="Heading1Char"/>
    <w:uiPriority w:val="1"/>
    <w:qFormat/>
    <w:rsid w:val="003F253D"/>
    <w:pPr>
      <w:keepNext/>
      <w:keepLines/>
      <w:numPr>
        <w:numId w:val="45"/>
      </w:numPr>
      <w:spacing w:before="240" w:line="276" w:lineRule="auto"/>
      <w:outlineLvl w:val="0"/>
    </w:pPr>
    <w:rPr>
      <w:b/>
      <w:caps/>
      <w:color w:val="1ED2E6" w:themeColor="accent1"/>
      <w:sz w:val="24"/>
      <w:szCs w:val="24"/>
    </w:rPr>
  </w:style>
  <w:style w:type="paragraph" w:styleId="Heading2">
    <w:name w:val="heading 2"/>
    <w:aliases w:val="Num Heading 2"/>
    <w:basedOn w:val="Normal"/>
    <w:next w:val="Normal"/>
    <w:link w:val="Heading2Char"/>
    <w:uiPriority w:val="1"/>
    <w:unhideWhenUsed/>
    <w:qFormat/>
    <w:rsid w:val="003F253D"/>
    <w:pPr>
      <w:keepNext/>
      <w:keepLines/>
      <w:numPr>
        <w:ilvl w:val="1"/>
        <w:numId w:val="45"/>
      </w:numPr>
      <w:spacing w:before="120" w:line="276" w:lineRule="auto"/>
      <w:outlineLvl w:val="1"/>
    </w:pPr>
    <w:rPr>
      <w:b/>
      <w:color w:val="1ED2E6" w:themeColor="accent1"/>
      <w:sz w:val="22"/>
      <w:szCs w:val="22"/>
    </w:rPr>
  </w:style>
  <w:style w:type="paragraph" w:styleId="Heading3">
    <w:name w:val="heading 3"/>
    <w:aliases w:val="Num Heading 3"/>
    <w:basedOn w:val="Normal"/>
    <w:next w:val="Normal"/>
    <w:link w:val="Heading3Char"/>
    <w:uiPriority w:val="1"/>
    <w:unhideWhenUsed/>
    <w:qFormat/>
    <w:rsid w:val="003F253D"/>
    <w:pPr>
      <w:keepNext/>
      <w:keepLines/>
      <w:numPr>
        <w:ilvl w:val="2"/>
        <w:numId w:val="45"/>
      </w:numPr>
      <w:spacing w:line="276" w:lineRule="auto"/>
      <w:outlineLvl w:val="2"/>
    </w:pPr>
    <w:rPr>
      <w:bCs/>
      <w:color w:val="1ED2E6" w:themeColor="accent1"/>
      <w:szCs w:val="20"/>
    </w:rPr>
  </w:style>
  <w:style w:type="paragraph" w:styleId="Heading4">
    <w:name w:val="heading 4"/>
    <w:aliases w:val="Num Heading 4"/>
    <w:basedOn w:val="Normal"/>
    <w:next w:val="Normal"/>
    <w:link w:val="Heading4Char"/>
    <w:uiPriority w:val="1"/>
    <w:unhideWhenUsed/>
    <w:qFormat/>
    <w:rsid w:val="003F253D"/>
    <w:pPr>
      <w:keepNext/>
      <w:keepLines/>
      <w:numPr>
        <w:ilvl w:val="3"/>
        <w:numId w:val="45"/>
      </w:numPr>
      <w:spacing w:line="276" w:lineRule="auto"/>
      <w:outlineLvl w:val="3"/>
    </w:pPr>
    <w:rPr>
      <w:bCs/>
      <w:color w:val="5A5B5E" w:themeColor="background2"/>
      <w:szCs w:val="20"/>
    </w:rPr>
  </w:style>
  <w:style w:type="paragraph" w:styleId="Heading5">
    <w:name w:val="heading 5"/>
    <w:aliases w:val="Num Heading 5"/>
    <w:basedOn w:val="Normal"/>
    <w:next w:val="Normal"/>
    <w:link w:val="Heading5Char"/>
    <w:uiPriority w:val="1"/>
    <w:unhideWhenUsed/>
    <w:qFormat/>
    <w:rsid w:val="003F253D"/>
    <w:pPr>
      <w:keepNext/>
      <w:keepLines/>
      <w:numPr>
        <w:ilvl w:val="4"/>
        <w:numId w:val="45"/>
      </w:numPr>
      <w:spacing w:line="276" w:lineRule="auto"/>
      <w:outlineLvl w:val="4"/>
    </w:pPr>
    <w:rPr>
      <w:bCs/>
      <w:color w:val="9B9C9F" w:themeColor="background2" w:themeTint="99"/>
    </w:rPr>
  </w:style>
  <w:style w:type="paragraph" w:styleId="Heading6">
    <w:name w:val="heading 6"/>
    <w:aliases w:val="Num Heading 6"/>
    <w:basedOn w:val="Normal"/>
    <w:next w:val="Normal"/>
    <w:link w:val="Heading6Char"/>
    <w:uiPriority w:val="1"/>
    <w:unhideWhenUsed/>
    <w:qFormat/>
    <w:rsid w:val="003F253D"/>
    <w:pPr>
      <w:keepNext/>
      <w:keepLines/>
      <w:numPr>
        <w:ilvl w:val="5"/>
        <w:numId w:val="45"/>
      </w:numPr>
      <w:spacing w:line="276" w:lineRule="auto"/>
      <w:outlineLvl w:val="5"/>
    </w:pPr>
    <w:rPr>
      <w:bCs/>
      <w:color w:val="BABCBF" w:themeColor="accent6"/>
    </w:rPr>
  </w:style>
  <w:style w:type="paragraph" w:styleId="Heading7">
    <w:name w:val="heading 7"/>
    <w:basedOn w:val="Normal"/>
    <w:next w:val="Normal"/>
    <w:link w:val="Heading7Char"/>
    <w:uiPriority w:val="9"/>
    <w:semiHidden/>
    <w:qFormat/>
    <w:rsid w:val="003F253D"/>
    <w:pPr>
      <w:outlineLvl w:val="6"/>
    </w:pPr>
  </w:style>
  <w:style w:type="paragraph" w:styleId="Heading8">
    <w:name w:val="heading 8"/>
    <w:basedOn w:val="Normal"/>
    <w:next w:val="Normal"/>
    <w:link w:val="Heading8Char"/>
    <w:uiPriority w:val="9"/>
    <w:semiHidden/>
    <w:qFormat/>
    <w:rsid w:val="003F253D"/>
    <w:pPr>
      <w:outlineLvl w:val="7"/>
    </w:pPr>
  </w:style>
  <w:style w:type="paragraph" w:styleId="Heading9">
    <w:name w:val="heading 9"/>
    <w:basedOn w:val="Normal"/>
    <w:next w:val="Normal"/>
    <w:link w:val="Heading9Char"/>
    <w:uiPriority w:val="9"/>
    <w:semiHidden/>
    <w:qFormat/>
    <w:rsid w:val="003F253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B91B9D"/>
    <w:pPr>
      <w:spacing w:before="0" w:line="200" w:lineRule="atLeast"/>
      <w:contextualSpacing/>
    </w:pPr>
    <w:rPr>
      <w:rFonts w:asciiTheme="majorHAnsi" w:eastAsiaTheme="majorEastAsia" w:hAnsiTheme="majorHAnsi" w:cstheme="majorBidi"/>
      <w:b/>
      <w:caps/>
      <w:color w:val="1ED2E6" w:themeColor="accent1"/>
      <w:spacing w:val="-10"/>
      <w:kern w:val="28"/>
      <w:sz w:val="60"/>
      <w:szCs w:val="60"/>
    </w:rPr>
  </w:style>
  <w:style w:type="character" w:customStyle="1" w:styleId="TitleChar">
    <w:name w:val="Title Char"/>
    <w:basedOn w:val="DefaultParagraphFont"/>
    <w:link w:val="Title"/>
    <w:uiPriority w:val="99"/>
    <w:rsid w:val="00B91B9D"/>
    <w:rPr>
      <w:rFonts w:asciiTheme="majorHAnsi" w:eastAsiaTheme="majorEastAsia" w:hAnsiTheme="majorHAnsi" w:cstheme="majorBidi"/>
      <w:b/>
      <w:caps/>
      <w:color w:val="1ED2E6" w:themeColor="accent1"/>
      <w:spacing w:val="-10"/>
      <w:kern w:val="28"/>
      <w:sz w:val="60"/>
      <w:szCs w:val="60"/>
      <w:lang w:val="en-GB"/>
    </w:rPr>
  </w:style>
  <w:style w:type="paragraph" w:styleId="Subtitle">
    <w:name w:val="Subtitle"/>
    <w:basedOn w:val="Normal"/>
    <w:next w:val="Normal"/>
    <w:link w:val="SubtitleChar"/>
    <w:uiPriority w:val="99"/>
    <w:qFormat/>
    <w:rsid w:val="00B91B9D"/>
    <w:pPr>
      <w:numPr>
        <w:ilvl w:val="1"/>
      </w:numPr>
      <w:spacing w:before="0" w:after="960" w:line="400" w:lineRule="exact"/>
    </w:pPr>
    <w:rPr>
      <w:rFonts w:eastAsiaTheme="minorEastAsia"/>
      <w:b/>
      <w:bCs/>
      <w:color w:val="1ED2E6" w:themeColor="accent1"/>
      <w:sz w:val="32"/>
      <w:szCs w:val="32"/>
    </w:rPr>
  </w:style>
  <w:style w:type="character" w:customStyle="1" w:styleId="SubtitleChar">
    <w:name w:val="Subtitle Char"/>
    <w:basedOn w:val="DefaultParagraphFont"/>
    <w:link w:val="Subtitle"/>
    <w:uiPriority w:val="99"/>
    <w:rsid w:val="00B91B9D"/>
    <w:rPr>
      <w:rFonts w:eastAsiaTheme="minorEastAsia"/>
      <w:b/>
      <w:bCs/>
      <w:color w:val="1ED2E6" w:themeColor="accent1"/>
      <w:sz w:val="32"/>
      <w:szCs w:val="32"/>
      <w:lang w:val="en-GB"/>
    </w:rPr>
  </w:style>
  <w:style w:type="character" w:customStyle="1" w:styleId="Heading1Char">
    <w:name w:val="Heading 1 Char"/>
    <w:aliases w:val="Num Heading 1 Char"/>
    <w:basedOn w:val="DefaultParagraphFont"/>
    <w:link w:val="Heading1"/>
    <w:uiPriority w:val="1"/>
    <w:rsid w:val="003F253D"/>
    <w:rPr>
      <w:b/>
      <w:caps/>
      <w:color w:val="1ED2E6" w:themeColor="accent1"/>
      <w:sz w:val="24"/>
      <w:szCs w:val="24"/>
      <w:lang w:val="en-GB"/>
    </w:rPr>
  </w:style>
  <w:style w:type="character" w:customStyle="1" w:styleId="Heading2Char">
    <w:name w:val="Heading 2 Char"/>
    <w:aliases w:val="Num Heading 2 Char"/>
    <w:basedOn w:val="DefaultParagraphFont"/>
    <w:link w:val="Heading2"/>
    <w:uiPriority w:val="1"/>
    <w:rsid w:val="003F253D"/>
    <w:rPr>
      <w:b/>
      <w:color w:val="1ED2E6" w:themeColor="accent1"/>
      <w:lang w:val="en-GB"/>
    </w:rPr>
  </w:style>
  <w:style w:type="character" w:customStyle="1" w:styleId="Heading3Char">
    <w:name w:val="Heading 3 Char"/>
    <w:aliases w:val="Num Heading 3 Char"/>
    <w:basedOn w:val="DefaultParagraphFont"/>
    <w:link w:val="Heading3"/>
    <w:uiPriority w:val="1"/>
    <w:rsid w:val="003F253D"/>
    <w:rPr>
      <w:bCs/>
      <w:color w:val="1ED2E6" w:themeColor="accent1"/>
      <w:sz w:val="20"/>
      <w:szCs w:val="20"/>
      <w:lang w:val="en-GB"/>
    </w:rPr>
  </w:style>
  <w:style w:type="character" w:customStyle="1" w:styleId="Heading4Char">
    <w:name w:val="Heading 4 Char"/>
    <w:aliases w:val="Num Heading 4 Char"/>
    <w:basedOn w:val="DefaultParagraphFont"/>
    <w:link w:val="Heading4"/>
    <w:uiPriority w:val="1"/>
    <w:rsid w:val="003F253D"/>
    <w:rPr>
      <w:bCs/>
      <w:color w:val="5A5B5E" w:themeColor="background2"/>
      <w:sz w:val="20"/>
      <w:szCs w:val="20"/>
      <w:lang w:val="en-GB"/>
    </w:rPr>
  </w:style>
  <w:style w:type="character" w:customStyle="1" w:styleId="Heading5Char">
    <w:name w:val="Heading 5 Char"/>
    <w:aliases w:val="Num Heading 5 Char"/>
    <w:basedOn w:val="DefaultParagraphFont"/>
    <w:link w:val="Heading5"/>
    <w:uiPriority w:val="1"/>
    <w:rsid w:val="003F253D"/>
    <w:rPr>
      <w:bCs/>
      <w:color w:val="9B9C9F" w:themeColor="background2" w:themeTint="99"/>
      <w:sz w:val="20"/>
      <w:szCs w:val="18"/>
      <w:lang w:val="en-GB"/>
    </w:rPr>
  </w:style>
  <w:style w:type="character" w:customStyle="1" w:styleId="Heading6Char">
    <w:name w:val="Heading 6 Char"/>
    <w:aliases w:val="Num Heading 6 Char"/>
    <w:basedOn w:val="DefaultParagraphFont"/>
    <w:link w:val="Heading6"/>
    <w:uiPriority w:val="1"/>
    <w:rsid w:val="003F253D"/>
    <w:rPr>
      <w:bCs/>
      <w:color w:val="BABCBF" w:themeColor="accent6"/>
      <w:sz w:val="20"/>
      <w:szCs w:val="18"/>
      <w:lang w:val="en-GB"/>
    </w:rPr>
  </w:style>
  <w:style w:type="character" w:customStyle="1" w:styleId="Heading7Char">
    <w:name w:val="Heading 7 Char"/>
    <w:basedOn w:val="DefaultParagraphFont"/>
    <w:link w:val="Heading7"/>
    <w:uiPriority w:val="9"/>
    <w:semiHidden/>
    <w:rsid w:val="003F253D"/>
    <w:rPr>
      <w:sz w:val="20"/>
      <w:szCs w:val="18"/>
      <w:lang w:val="en-GB"/>
    </w:rPr>
  </w:style>
  <w:style w:type="character" w:customStyle="1" w:styleId="Heading8Char">
    <w:name w:val="Heading 8 Char"/>
    <w:basedOn w:val="DefaultParagraphFont"/>
    <w:link w:val="Heading8"/>
    <w:uiPriority w:val="9"/>
    <w:semiHidden/>
    <w:rsid w:val="003F253D"/>
    <w:rPr>
      <w:sz w:val="20"/>
      <w:szCs w:val="18"/>
      <w:lang w:val="en-GB"/>
    </w:rPr>
  </w:style>
  <w:style w:type="character" w:customStyle="1" w:styleId="Heading9Char">
    <w:name w:val="Heading 9 Char"/>
    <w:basedOn w:val="DefaultParagraphFont"/>
    <w:link w:val="Heading9"/>
    <w:uiPriority w:val="9"/>
    <w:semiHidden/>
    <w:rsid w:val="003F253D"/>
    <w:rPr>
      <w:sz w:val="20"/>
      <w:szCs w:val="18"/>
      <w:lang w:val="en-GB"/>
    </w:rPr>
  </w:style>
  <w:style w:type="paragraph" w:styleId="ListParagraph">
    <w:name w:val="List Paragraph"/>
    <w:basedOn w:val="Normal"/>
    <w:uiPriority w:val="34"/>
    <w:semiHidden/>
    <w:qFormat/>
    <w:rsid w:val="003F253D"/>
    <w:pPr>
      <w:ind w:left="720"/>
      <w:contextualSpacing/>
    </w:pPr>
  </w:style>
  <w:style w:type="character" w:styleId="Strong">
    <w:name w:val="Strong"/>
    <w:aliases w:val="*Bold"/>
    <w:basedOn w:val="DefaultParagraphFont"/>
    <w:uiPriority w:val="99"/>
    <w:qFormat/>
    <w:rsid w:val="003F253D"/>
    <w:rPr>
      <w:b/>
      <w:bCs/>
    </w:rPr>
  </w:style>
  <w:style w:type="character" w:styleId="Emphasis">
    <w:name w:val="Emphasis"/>
    <w:aliases w:val="*Italics"/>
    <w:basedOn w:val="DefaultParagraphFont"/>
    <w:uiPriority w:val="99"/>
    <w:qFormat/>
    <w:rsid w:val="003F253D"/>
    <w:rPr>
      <w:i/>
      <w:iCs/>
    </w:rPr>
  </w:style>
  <w:style w:type="paragraph" w:styleId="ListBullet">
    <w:name w:val="List Bullet"/>
    <w:basedOn w:val="ListParagraph"/>
    <w:qFormat/>
    <w:rsid w:val="003F253D"/>
    <w:pPr>
      <w:numPr>
        <w:numId w:val="39"/>
      </w:numPr>
    </w:pPr>
    <w:rPr>
      <w:color w:val="5B5D62" w:themeColor="accent6" w:themeShade="80"/>
    </w:rPr>
  </w:style>
  <w:style w:type="paragraph" w:styleId="ListBullet2">
    <w:name w:val="List Bullet 2"/>
    <w:basedOn w:val="Normal"/>
    <w:qFormat/>
    <w:rsid w:val="003F253D"/>
    <w:pPr>
      <w:numPr>
        <w:ilvl w:val="1"/>
        <w:numId w:val="39"/>
      </w:numPr>
      <w:contextualSpacing/>
    </w:pPr>
    <w:rPr>
      <w:color w:val="5B5D62" w:themeColor="accent6" w:themeShade="80"/>
    </w:rPr>
  </w:style>
  <w:style w:type="paragraph" w:styleId="ListBullet3">
    <w:name w:val="List Bullet 3"/>
    <w:basedOn w:val="Normal"/>
    <w:qFormat/>
    <w:rsid w:val="003F253D"/>
    <w:pPr>
      <w:numPr>
        <w:ilvl w:val="2"/>
        <w:numId w:val="39"/>
      </w:numPr>
      <w:contextualSpacing/>
    </w:pPr>
    <w:rPr>
      <w:color w:val="5B5D62" w:themeColor="accent6" w:themeShade="80"/>
    </w:rPr>
  </w:style>
  <w:style w:type="paragraph" w:styleId="Header">
    <w:name w:val="header"/>
    <w:basedOn w:val="Normal"/>
    <w:link w:val="HeaderChar"/>
    <w:uiPriority w:val="99"/>
    <w:unhideWhenUsed/>
    <w:rsid w:val="003F253D"/>
    <w:pPr>
      <w:tabs>
        <w:tab w:val="center" w:pos="4513"/>
        <w:tab w:val="right" w:pos="9026"/>
      </w:tabs>
      <w:spacing w:line="240" w:lineRule="auto"/>
    </w:pPr>
  </w:style>
  <w:style w:type="character" w:customStyle="1" w:styleId="HeaderChar">
    <w:name w:val="Header Char"/>
    <w:basedOn w:val="DefaultParagraphFont"/>
    <w:link w:val="Header"/>
    <w:uiPriority w:val="99"/>
    <w:rsid w:val="003F253D"/>
    <w:rPr>
      <w:sz w:val="20"/>
      <w:szCs w:val="18"/>
      <w:lang w:val="en-GB"/>
    </w:rPr>
  </w:style>
  <w:style w:type="paragraph" w:styleId="Footer">
    <w:name w:val="footer"/>
    <w:basedOn w:val="Normal"/>
    <w:link w:val="FooterChar"/>
    <w:uiPriority w:val="99"/>
    <w:unhideWhenUsed/>
    <w:rsid w:val="003F253D"/>
    <w:pPr>
      <w:pBdr>
        <w:top w:val="single" w:sz="4" w:space="16" w:color="5B5D62" w:themeColor="accent6" w:themeShade="80"/>
      </w:pBdr>
      <w:tabs>
        <w:tab w:val="center" w:pos="4513"/>
        <w:tab w:val="right" w:pos="9026"/>
      </w:tabs>
      <w:spacing w:line="240" w:lineRule="auto"/>
    </w:pPr>
    <w:rPr>
      <w:color w:val="5B5D62" w:themeColor="accent6" w:themeShade="80"/>
      <w:sz w:val="16"/>
    </w:rPr>
  </w:style>
  <w:style w:type="character" w:customStyle="1" w:styleId="FooterChar">
    <w:name w:val="Footer Char"/>
    <w:basedOn w:val="DefaultParagraphFont"/>
    <w:link w:val="Footer"/>
    <w:uiPriority w:val="99"/>
    <w:rsid w:val="003F253D"/>
    <w:rPr>
      <w:color w:val="5B5D62" w:themeColor="accent6" w:themeShade="80"/>
      <w:sz w:val="16"/>
      <w:szCs w:val="18"/>
      <w:lang w:val="en-GB"/>
    </w:rPr>
  </w:style>
  <w:style w:type="paragraph" w:customStyle="1" w:styleId="Subpara1">
    <w:name w:val="Subpara 1"/>
    <w:basedOn w:val="Heading7"/>
    <w:next w:val="Normal"/>
    <w:uiPriority w:val="1"/>
    <w:qFormat/>
    <w:rsid w:val="003F253D"/>
    <w:pPr>
      <w:numPr>
        <w:ilvl w:val="6"/>
        <w:numId w:val="45"/>
      </w:numPr>
      <w:contextualSpacing/>
    </w:pPr>
    <w:rPr>
      <w:color w:val="5B5D62" w:themeColor="accent6" w:themeShade="80"/>
    </w:rPr>
  </w:style>
  <w:style w:type="paragraph" w:customStyle="1" w:styleId="Subpara2">
    <w:name w:val="Subpara 2"/>
    <w:basedOn w:val="Heading8"/>
    <w:next w:val="Normal"/>
    <w:uiPriority w:val="1"/>
    <w:qFormat/>
    <w:rsid w:val="003F253D"/>
    <w:pPr>
      <w:numPr>
        <w:ilvl w:val="7"/>
        <w:numId w:val="45"/>
      </w:numPr>
      <w:contextualSpacing/>
    </w:pPr>
    <w:rPr>
      <w:color w:val="5B5D62" w:themeColor="accent6" w:themeShade="80"/>
    </w:rPr>
  </w:style>
  <w:style w:type="paragraph" w:customStyle="1" w:styleId="Subpara3">
    <w:name w:val="Subpara 3"/>
    <w:basedOn w:val="Heading9"/>
    <w:next w:val="Normal"/>
    <w:uiPriority w:val="1"/>
    <w:qFormat/>
    <w:rsid w:val="003F253D"/>
    <w:pPr>
      <w:numPr>
        <w:ilvl w:val="8"/>
        <w:numId w:val="45"/>
      </w:numPr>
      <w:contextualSpacing/>
    </w:pPr>
    <w:rPr>
      <w:color w:val="5B5D62" w:themeColor="accent6" w:themeShade="80"/>
    </w:rPr>
  </w:style>
  <w:style w:type="table" w:styleId="TableGrid">
    <w:name w:val="Table Grid"/>
    <w:basedOn w:val="TableNormal"/>
    <w:uiPriority w:val="39"/>
    <w:rsid w:val="003F2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Table">
    <w:name w:val="CA_Table"/>
    <w:basedOn w:val="TableNormal"/>
    <w:uiPriority w:val="99"/>
    <w:rsid w:val="00E2586A"/>
    <w:pPr>
      <w:spacing w:after="0" w:line="240" w:lineRule="auto"/>
    </w:p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cPr>
      <w:shd w:val="clear" w:color="auto" w:fill="F1F1F2" w:themeFill="accent6" w:themeFillTint="33"/>
    </w:tcPr>
    <w:tblStylePr w:type="firstRow">
      <w:pPr>
        <w:jc w:val="left"/>
      </w:pPr>
      <w:rPr>
        <w:b w:val="0"/>
        <w:caps w:val="0"/>
        <w:smallCaps w:val="0"/>
        <w:color w:val="auto"/>
      </w:rPr>
      <w:tblPr/>
      <w:trPr>
        <w:tblHeader/>
      </w:trPr>
      <w:tcPr>
        <w:shd w:val="clear" w:color="auto" w:fill="1ED2E6" w:themeFill="accent1"/>
        <w:vAlign w:val="bottom"/>
      </w:tcPr>
    </w:tblStylePr>
    <w:tblStylePr w:type="lastRow">
      <w:rPr>
        <w:b/>
      </w:rPr>
    </w:tblStylePr>
    <w:tblStylePr w:type="firstCol">
      <w:tblPr/>
      <w:tcPr>
        <w:shd w:val="clear" w:color="auto" w:fill="C9C9C9"/>
      </w:tcPr>
    </w:tblStylePr>
  </w:style>
  <w:style w:type="paragraph" w:customStyle="1" w:styleId="Tabletext">
    <w:name w:val="Table text"/>
    <w:basedOn w:val="Normal"/>
    <w:uiPriority w:val="2"/>
    <w:qFormat/>
    <w:rsid w:val="003F253D"/>
    <w:pPr>
      <w:spacing w:before="60" w:after="60" w:line="264" w:lineRule="auto"/>
    </w:pPr>
    <w:rPr>
      <w:color w:val="5B5D62" w:themeColor="accent6" w:themeShade="80"/>
    </w:rPr>
  </w:style>
  <w:style w:type="paragraph" w:customStyle="1" w:styleId="Tablenumbers">
    <w:name w:val="Table numbers"/>
    <w:basedOn w:val="Tabletext"/>
    <w:qFormat/>
    <w:rsid w:val="003F253D"/>
    <w:pPr>
      <w:jc w:val="right"/>
    </w:pPr>
  </w:style>
  <w:style w:type="table" w:customStyle="1" w:styleId="CABlank">
    <w:name w:val="CA_Blank"/>
    <w:basedOn w:val="TableNormal"/>
    <w:uiPriority w:val="99"/>
    <w:rsid w:val="003F253D"/>
    <w:pPr>
      <w:spacing w:after="0" w:line="240" w:lineRule="auto"/>
    </w:pPr>
    <w:tblPr>
      <w:tblCellMar>
        <w:left w:w="0" w:type="dxa"/>
        <w:right w:w="0" w:type="dxa"/>
      </w:tblCellMar>
    </w:tblPr>
  </w:style>
  <w:style w:type="paragraph" w:styleId="BodyText">
    <w:name w:val="Body Text"/>
    <w:basedOn w:val="Normal"/>
    <w:link w:val="BodyTextChar"/>
    <w:qFormat/>
    <w:rsid w:val="003F253D"/>
    <w:rPr>
      <w:color w:val="5B5D62" w:themeColor="accent6" w:themeShade="80"/>
    </w:rPr>
  </w:style>
  <w:style w:type="character" w:customStyle="1" w:styleId="BodyTextChar">
    <w:name w:val="Body Text Char"/>
    <w:basedOn w:val="DefaultParagraphFont"/>
    <w:link w:val="BodyText"/>
    <w:rsid w:val="006C2166"/>
    <w:rPr>
      <w:color w:val="5B5D62" w:themeColor="accent6" w:themeShade="80"/>
      <w:sz w:val="20"/>
      <w:szCs w:val="18"/>
      <w:lang w:val="en-GB"/>
    </w:rPr>
  </w:style>
  <w:style w:type="paragraph" w:customStyle="1" w:styleId="Tablenumbersheading">
    <w:name w:val="Table numbers (heading)"/>
    <w:basedOn w:val="Tablenumbers"/>
    <w:qFormat/>
    <w:rsid w:val="003F253D"/>
    <w:rPr>
      <w:b/>
      <w:color w:val="FFFFFF" w:themeColor="background1"/>
    </w:rPr>
  </w:style>
  <w:style w:type="paragraph" w:customStyle="1" w:styleId="Tabletextheading">
    <w:name w:val="Table text (heading)"/>
    <w:basedOn w:val="Tabletext"/>
    <w:uiPriority w:val="2"/>
    <w:qFormat/>
    <w:rsid w:val="003F253D"/>
    <w:rPr>
      <w:b/>
      <w:color w:val="FFFFFF" w:themeColor="background1"/>
    </w:rPr>
  </w:style>
  <w:style w:type="paragraph" w:styleId="NoSpacing">
    <w:name w:val="No Spacing"/>
    <w:uiPriority w:val="3"/>
    <w:qFormat/>
    <w:rsid w:val="003F253D"/>
    <w:pPr>
      <w:spacing w:after="0" w:line="240" w:lineRule="auto"/>
    </w:pPr>
    <w:rPr>
      <w:color w:val="5B5D62" w:themeColor="accent6" w:themeShade="80"/>
      <w:sz w:val="18"/>
      <w:szCs w:val="18"/>
      <w:lang w:val="en-GB"/>
    </w:rPr>
  </w:style>
  <w:style w:type="paragraph" w:customStyle="1" w:styleId="Layoutspacer">
    <w:name w:val="Layout spacer"/>
    <w:basedOn w:val="BodyText"/>
    <w:uiPriority w:val="99"/>
    <w:rsid w:val="003F253D"/>
    <w:pPr>
      <w:spacing w:before="0" w:line="240" w:lineRule="auto"/>
    </w:pPr>
    <w:rPr>
      <w:vanish/>
      <w:color w:val="C00000"/>
    </w:rPr>
  </w:style>
  <w:style w:type="character" w:styleId="PlaceholderText">
    <w:name w:val="Placeholder Text"/>
    <w:basedOn w:val="DefaultParagraphFont"/>
    <w:uiPriority w:val="99"/>
    <w:semiHidden/>
    <w:rsid w:val="003F253D"/>
    <w:rPr>
      <w:color w:val="808080"/>
    </w:rPr>
  </w:style>
  <w:style w:type="paragraph" w:styleId="Caption">
    <w:name w:val="caption"/>
    <w:basedOn w:val="Normal"/>
    <w:next w:val="Normal"/>
    <w:uiPriority w:val="3"/>
    <w:qFormat/>
    <w:rsid w:val="003F253D"/>
    <w:pPr>
      <w:spacing w:before="0" w:after="200" w:line="240" w:lineRule="auto"/>
    </w:pPr>
    <w:rPr>
      <w:iCs/>
      <w:color w:val="1ED2E6" w:themeColor="accent1"/>
    </w:rPr>
  </w:style>
  <w:style w:type="paragraph" w:styleId="TOCHeading">
    <w:name w:val="TOC Heading"/>
    <w:basedOn w:val="Heading1"/>
    <w:next w:val="Normal"/>
    <w:uiPriority w:val="99"/>
    <w:semiHidden/>
    <w:qFormat/>
    <w:rsid w:val="003F253D"/>
    <w:pPr>
      <w:numPr>
        <w:numId w:val="0"/>
      </w:numPr>
      <w:spacing w:before="0" w:after="600" w:line="312" w:lineRule="auto"/>
      <w:outlineLvl w:val="9"/>
    </w:pPr>
    <w:rPr>
      <w:rFonts w:asciiTheme="majorHAnsi" w:eastAsiaTheme="majorEastAsia" w:hAnsiTheme="majorHAnsi" w:cstheme="majorBidi"/>
      <w:caps w:val="0"/>
      <w:sz w:val="60"/>
      <w:szCs w:val="60"/>
    </w:rPr>
  </w:style>
  <w:style w:type="paragraph" w:styleId="TOC1">
    <w:name w:val="toc 1"/>
    <w:basedOn w:val="Normal"/>
    <w:next w:val="Normal"/>
    <w:autoRedefine/>
    <w:uiPriority w:val="39"/>
    <w:semiHidden/>
    <w:rsid w:val="003F253D"/>
    <w:pPr>
      <w:tabs>
        <w:tab w:val="right" w:leader="dot" w:pos="9854"/>
      </w:tabs>
      <w:spacing w:after="40"/>
    </w:pPr>
    <w:rPr>
      <w:b/>
      <w:caps/>
      <w:color w:val="1ED2E6" w:themeColor="accent1"/>
      <w:sz w:val="22"/>
      <w:szCs w:val="22"/>
    </w:rPr>
  </w:style>
  <w:style w:type="paragraph" w:styleId="TOC2">
    <w:name w:val="toc 2"/>
    <w:basedOn w:val="Normal"/>
    <w:next w:val="Normal"/>
    <w:autoRedefine/>
    <w:uiPriority w:val="39"/>
    <w:semiHidden/>
    <w:rsid w:val="003F253D"/>
    <w:pPr>
      <w:tabs>
        <w:tab w:val="left" w:pos="660"/>
        <w:tab w:val="right" w:leader="dot" w:pos="9854"/>
      </w:tabs>
      <w:spacing w:before="40" w:after="40"/>
      <w:ind w:left="180"/>
    </w:pPr>
    <w:rPr>
      <w:color w:val="5B5D62" w:themeColor="accent6" w:themeShade="80"/>
    </w:rPr>
  </w:style>
  <w:style w:type="paragraph" w:styleId="TOC3">
    <w:name w:val="toc 3"/>
    <w:basedOn w:val="Normal"/>
    <w:next w:val="Normal"/>
    <w:autoRedefine/>
    <w:uiPriority w:val="39"/>
    <w:semiHidden/>
    <w:rsid w:val="003F253D"/>
    <w:pPr>
      <w:tabs>
        <w:tab w:val="left" w:pos="1100"/>
        <w:tab w:val="right" w:leader="dot" w:pos="9854"/>
      </w:tabs>
      <w:spacing w:before="40" w:after="40"/>
      <w:ind w:left="360"/>
    </w:pPr>
    <w:rPr>
      <w:color w:val="5B5D62" w:themeColor="accent6" w:themeShade="80"/>
    </w:rPr>
  </w:style>
  <w:style w:type="character" w:styleId="Hyperlink">
    <w:name w:val="Hyperlink"/>
    <w:basedOn w:val="DefaultParagraphFont"/>
    <w:uiPriority w:val="99"/>
    <w:unhideWhenUsed/>
    <w:rsid w:val="003F253D"/>
    <w:rPr>
      <w:color w:val="1ED2E6" w:themeColor="hyperlink"/>
      <w:u w:val="single"/>
    </w:rPr>
  </w:style>
  <w:style w:type="character" w:customStyle="1" w:styleId="Accentcolour1">
    <w:name w:val="*Accent colour 1"/>
    <w:basedOn w:val="DefaultParagraphFont"/>
    <w:uiPriority w:val="99"/>
    <w:qFormat/>
    <w:rsid w:val="003F253D"/>
    <w:rPr>
      <w:color w:val="1ED2E6" w:themeColor="accent1"/>
    </w:rPr>
  </w:style>
  <w:style w:type="character" w:customStyle="1" w:styleId="Accentcolour1bold">
    <w:name w:val="*Accent colour 1 (bold)"/>
    <w:basedOn w:val="Accentcolour1"/>
    <w:uiPriority w:val="99"/>
    <w:qFormat/>
    <w:rsid w:val="003F253D"/>
    <w:rPr>
      <w:b/>
      <w:color w:val="1ED2E6" w:themeColor="accent1"/>
    </w:rPr>
  </w:style>
  <w:style w:type="character" w:customStyle="1" w:styleId="Accentcolour2">
    <w:name w:val="*Accent colour 2"/>
    <w:basedOn w:val="DefaultParagraphFont"/>
    <w:uiPriority w:val="99"/>
    <w:qFormat/>
    <w:rsid w:val="003F253D"/>
    <w:rPr>
      <w:color w:val="28A0BF" w:themeColor="accent2"/>
    </w:rPr>
  </w:style>
  <w:style w:type="character" w:customStyle="1" w:styleId="Accentcolour2bold">
    <w:name w:val="*Accent colour 2 (bold)"/>
    <w:basedOn w:val="Accentcolour2"/>
    <w:uiPriority w:val="99"/>
    <w:qFormat/>
    <w:rsid w:val="003F253D"/>
    <w:rPr>
      <w:b/>
      <w:color w:val="28A0BF" w:themeColor="accent2"/>
    </w:rPr>
  </w:style>
  <w:style w:type="character" w:customStyle="1" w:styleId="Accentcolour3">
    <w:name w:val="*Accent colour 3"/>
    <w:basedOn w:val="DefaultParagraphFont"/>
    <w:uiPriority w:val="99"/>
    <w:qFormat/>
    <w:rsid w:val="003F253D"/>
    <w:rPr>
      <w:color w:val="025B7A" w:themeColor="accent3"/>
    </w:rPr>
  </w:style>
  <w:style w:type="character" w:customStyle="1" w:styleId="Accentcolour3bold">
    <w:name w:val="*Accent colour 3 (bold)"/>
    <w:basedOn w:val="Accentcolour3"/>
    <w:uiPriority w:val="99"/>
    <w:qFormat/>
    <w:rsid w:val="003F253D"/>
    <w:rPr>
      <w:b/>
      <w:color w:val="025B7A" w:themeColor="accent3"/>
    </w:rPr>
  </w:style>
  <w:style w:type="character" w:customStyle="1" w:styleId="Accentcolour4">
    <w:name w:val="*Accent colour 4"/>
    <w:basedOn w:val="DefaultParagraphFont"/>
    <w:uiPriority w:val="99"/>
    <w:qFormat/>
    <w:rsid w:val="003F253D"/>
    <w:rPr>
      <w:color w:val="063246" w:themeColor="accent4"/>
    </w:rPr>
  </w:style>
  <w:style w:type="character" w:customStyle="1" w:styleId="Accentcolour4bold">
    <w:name w:val="*Accent colour 4 (bold)"/>
    <w:basedOn w:val="Accentcolour4"/>
    <w:uiPriority w:val="99"/>
    <w:qFormat/>
    <w:rsid w:val="003F253D"/>
    <w:rPr>
      <w:b/>
      <w:color w:val="063246" w:themeColor="accent4"/>
    </w:rPr>
  </w:style>
  <w:style w:type="character" w:customStyle="1" w:styleId="Accentcolour5">
    <w:name w:val="*Accent colour 5"/>
    <w:basedOn w:val="DefaultParagraphFont"/>
    <w:uiPriority w:val="99"/>
    <w:qFormat/>
    <w:rsid w:val="003F253D"/>
    <w:rPr>
      <w:color w:val="92E9F5" w:themeColor="accent5"/>
    </w:rPr>
  </w:style>
  <w:style w:type="character" w:customStyle="1" w:styleId="Accentcolour5bold">
    <w:name w:val="*Accent colour 5 (bold)"/>
    <w:basedOn w:val="Accentcolour5"/>
    <w:uiPriority w:val="99"/>
    <w:qFormat/>
    <w:rsid w:val="003F253D"/>
    <w:rPr>
      <w:b/>
      <w:color w:val="92E9F5" w:themeColor="accent5"/>
    </w:rPr>
  </w:style>
  <w:style w:type="character" w:customStyle="1" w:styleId="Accentcolour6">
    <w:name w:val="*Accent colour 6"/>
    <w:basedOn w:val="DefaultParagraphFont"/>
    <w:uiPriority w:val="99"/>
    <w:qFormat/>
    <w:rsid w:val="003F253D"/>
    <w:rPr>
      <w:color w:val="BABCBF" w:themeColor="accent6"/>
    </w:rPr>
  </w:style>
  <w:style w:type="character" w:customStyle="1" w:styleId="Accentcolour6bold">
    <w:name w:val="*Accent colour 6 (bold)"/>
    <w:basedOn w:val="Accentcolour6"/>
    <w:uiPriority w:val="99"/>
    <w:qFormat/>
    <w:rsid w:val="003F253D"/>
    <w:rPr>
      <w:b/>
      <w:color w:val="BABCBF" w:themeColor="accent6"/>
    </w:rPr>
  </w:style>
  <w:style w:type="character" w:customStyle="1" w:styleId="ALLCAPS">
    <w:name w:val="*ALL CAPS"/>
    <w:basedOn w:val="DefaultParagraphFont"/>
    <w:uiPriority w:val="99"/>
    <w:qFormat/>
    <w:rsid w:val="003F253D"/>
    <w:rPr>
      <w:caps/>
      <w:smallCaps w:val="0"/>
    </w:rPr>
  </w:style>
  <w:style w:type="character" w:customStyle="1" w:styleId="Subscript">
    <w:name w:val="*Subscript"/>
    <w:basedOn w:val="DefaultParagraphFont"/>
    <w:uiPriority w:val="99"/>
    <w:qFormat/>
    <w:rsid w:val="003F253D"/>
    <w:rPr>
      <w:vertAlign w:val="subscript"/>
    </w:rPr>
  </w:style>
  <w:style w:type="character" w:customStyle="1" w:styleId="Superscript">
    <w:name w:val="*Superscript"/>
    <w:basedOn w:val="DefaultParagraphFont"/>
    <w:uiPriority w:val="99"/>
    <w:qFormat/>
    <w:rsid w:val="003F253D"/>
    <w:rPr>
      <w:vertAlign w:val="superscript"/>
    </w:rPr>
  </w:style>
  <w:style w:type="paragraph" w:styleId="Quote">
    <w:name w:val="Quote"/>
    <w:basedOn w:val="BodyText"/>
    <w:next w:val="Normal"/>
    <w:link w:val="QuoteChar"/>
    <w:uiPriority w:val="3"/>
    <w:qFormat/>
    <w:rsid w:val="003F253D"/>
    <w:pPr>
      <w:framePr w:w="3402" w:hSpace="454" w:wrap="around" w:vAnchor="text" w:hAnchor="margin" w:xAlign="right" w:y="1"/>
      <w:pBdr>
        <w:top w:val="dotted" w:sz="6" w:space="12" w:color="auto"/>
        <w:bottom w:val="dotted" w:sz="6" w:space="4" w:color="auto"/>
      </w:pBdr>
      <w:spacing w:after="160" w:line="264" w:lineRule="auto"/>
    </w:pPr>
    <w:rPr>
      <w:b/>
      <w:bCs/>
      <w:sz w:val="24"/>
      <w:szCs w:val="24"/>
    </w:rPr>
  </w:style>
  <w:style w:type="character" w:customStyle="1" w:styleId="QuoteChar">
    <w:name w:val="Quote Char"/>
    <w:basedOn w:val="DefaultParagraphFont"/>
    <w:link w:val="Quote"/>
    <w:uiPriority w:val="3"/>
    <w:rsid w:val="006C2166"/>
    <w:rPr>
      <w:b/>
      <w:bCs/>
      <w:color w:val="5B5D62" w:themeColor="accent6" w:themeShade="80"/>
      <w:sz w:val="24"/>
      <w:szCs w:val="24"/>
      <w:lang w:val="en-GB"/>
    </w:rPr>
  </w:style>
  <w:style w:type="paragraph" w:customStyle="1" w:styleId="Tablenotesorsource">
    <w:name w:val="Table notes or source"/>
    <w:basedOn w:val="BodyText"/>
    <w:qFormat/>
    <w:rsid w:val="003F253D"/>
    <w:pPr>
      <w:numPr>
        <w:numId w:val="47"/>
      </w:numPr>
    </w:pPr>
    <w:rPr>
      <w:sz w:val="16"/>
      <w:szCs w:val="16"/>
    </w:rPr>
  </w:style>
  <w:style w:type="paragraph" w:customStyle="1" w:styleId="Tablenotenumbers">
    <w:name w:val="Table note numbers"/>
    <w:basedOn w:val="BodyText"/>
    <w:qFormat/>
    <w:rsid w:val="003F253D"/>
    <w:pPr>
      <w:numPr>
        <w:ilvl w:val="1"/>
        <w:numId w:val="47"/>
      </w:numPr>
      <w:spacing w:before="40" w:after="40"/>
    </w:pPr>
    <w:rPr>
      <w:sz w:val="16"/>
      <w:szCs w:val="16"/>
    </w:rPr>
  </w:style>
  <w:style w:type="character" w:customStyle="1" w:styleId="Whitetext">
    <w:name w:val="*White text"/>
    <w:basedOn w:val="DefaultParagraphFont"/>
    <w:uiPriority w:val="99"/>
    <w:qFormat/>
    <w:rsid w:val="003F253D"/>
    <w:rPr>
      <w:color w:val="FFFFFF" w:themeColor="background1"/>
    </w:rPr>
  </w:style>
  <w:style w:type="character" w:customStyle="1" w:styleId="Companyfooter">
    <w:name w:val="*Company footer"/>
    <w:basedOn w:val="Accentcolour1bold"/>
    <w:uiPriority w:val="99"/>
    <w:qFormat/>
    <w:rsid w:val="003F253D"/>
    <w:rPr>
      <w:b/>
      <w:caps/>
      <w:color w:val="1ED2E6" w:themeColor="accent1"/>
    </w:rPr>
  </w:style>
  <w:style w:type="paragraph" w:styleId="ListNumber">
    <w:name w:val="List Number"/>
    <w:basedOn w:val="Normal"/>
    <w:qFormat/>
    <w:rsid w:val="002A699A"/>
    <w:pPr>
      <w:numPr>
        <w:numId w:val="40"/>
      </w:numPr>
      <w:ind w:left="227" w:hanging="227"/>
      <w:contextualSpacing/>
    </w:pPr>
    <w:rPr>
      <w:color w:val="5B5D62" w:themeColor="accent6" w:themeShade="80"/>
    </w:rPr>
  </w:style>
  <w:style w:type="paragraph" w:styleId="ListNumber2">
    <w:name w:val="List Number 2"/>
    <w:basedOn w:val="Normal"/>
    <w:qFormat/>
    <w:rsid w:val="002A699A"/>
    <w:pPr>
      <w:numPr>
        <w:numId w:val="41"/>
      </w:numPr>
      <w:ind w:left="454" w:hanging="227"/>
      <w:contextualSpacing/>
    </w:pPr>
    <w:rPr>
      <w:color w:val="5B5D62" w:themeColor="accent6" w:themeShade="80"/>
    </w:rPr>
  </w:style>
  <w:style w:type="paragraph" w:styleId="ListNumber3">
    <w:name w:val="List Number 3"/>
    <w:basedOn w:val="Normal"/>
    <w:qFormat/>
    <w:rsid w:val="002A699A"/>
    <w:pPr>
      <w:numPr>
        <w:numId w:val="42"/>
      </w:numPr>
      <w:ind w:left="681" w:hanging="227"/>
      <w:contextualSpacing/>
    </w:pPr>
    <w:rPr>
      <w:color w:val="5B5D62" w:themeColor="accent6" w:themeShade="80"/>
    </w:rPr>
  </w:style>
  <w:style w:type="paragraph" w:customStyle="1" w:styleId="Addressandname">
    <w:name w:val="Address and name"/>
    <w:basedOn w:val="BodyText"/>
    <w:uiPriority w:val="99"/>
    <w:semiHidden/>
    <w:rsid w:val="003F253D"/>
    <w:pPr>
      <w:spacing w:after="480" w:line="264" w:lineRule="auto"/>
      <w:contextualSpacing/>
    </w:pPr>
    <w:rPr>
      <w:color w:val="1ED2E6" w:themeColor="accent1"/>
    </w:rPr>
  </w:style>
  <w:style w:type="paragraph" w:customStyle="1" w:styleId="Header1">
    <w:name w:val="Header 1"/>
    <w:basedOn w:val="Heading1"/>
    <w:next w:val="Normal"/>
    <w:uiPriority w:val="1"/>
    <w:qFormat/>
    <w:rsid w:val="003F253D"/>
    <w:pPr>
      <w:numPr>
        <w:numId w:val="0"/>
      </w:numPr>
    </w:pPr>
  </w:style>
  <w:style w:type="paragraph" w:customStyle="1" w:styleId="AppendixHeading1">
    <w:name w:val="Appendix Heading 1"/>
    <w:basedOn w:val="Header1"/>
    <w:uiPriority w:val="2"/>
    <w:qFormat/>
    <w:rsid w:val="003F253D"/>
    <w:pPr>
      <w:numPr>
        <w:numId w:val="36"/>
      </w:numPr>
    </w:pPr>
  </w:style>
  <w:style w:type="paragraph" w:customStyle="1" w:styleId="Header2">
    <w:name w:val="Header 2"/>
    <w:basedOn w:val="Heading2"/>
    <w:next w:val="Normal"/>
    <w:uiPriority w:val="1"/>
    <w:qFormat/>
    <w:rsid w:val="003F253D"/>
    <w:pPr>
      <w:numPr>
        <w:ilvl w:val="0"/>
        <w:numId w:val="0"/>
      </w:numPr>
    </w:pPr>
  </w:style>
  <w:style w:type="paragraph" w:customStyle="1" w:styleId="AppendixHeading2">
    <w:name w:val="Appendix Heading 2"/>
    <w:basedOn w:val="Header2"/>
    <w:uiPriority w:val="2"/>
    <w:qFormat/>
    <w:rsid w:val="003F253D"/>
    <w:pPr>
      <w:numPr>
        <w:ilvl w:val="1"/>
        <w:numId w:val="36"/>
      </w:numPr>
    </w:pPr>
  </w:style>
  <w:style w:type="paragraph" w:customStyle="1" w:styleId="Header3">
    <w:name w:val="Header 3"/>
    <w:basedOn w:val="Heading3"/>
    <w:next w:val="Normal"/>
    <w:uiPriority w:val="1"/>
    <w:qFormat/>
    <w:rsid w:val="003F253D"/>
    <w:pPr>
      <w:numPr>
        <w:ilvl w:val="0"/>
        <w:numId w:val="0"/>
      </w:numPr>
    </w:pPr>
  </w:style>
  <w:style w:type="paragraph" w:customStyle="1" w:styleId="AppendixHeading3">
    <w:name w:val="Appendix Heading 3"/>
    <w:basedOn w:val="Header3"/>
    <w:uiPriority w:val="2"/>
    <w:qFormat/>
    <w:rsid w:val="003F253D"/>
    <w:pPr>
      <w:numPr>
        <w:ilvl w:val="2"/>
        <w:numId w:val="36"/>
      </w:numPr>
    </w:pPr>
  </w:style>
  <w:style w:type="paragraph" w:customStyle="1" w:styleId="Header4">
    <w:name w:val="Header 4"/>
    <w:basedOn w:val="Heading4"/>
    <w:next w:val="Normal"/>
    <w:uiPriority w:val="1"/>
    <w:qFormat/>
    <w:rsid w:val="003F253D"/>
    <w:pPr>
      <w:numPr>
        <w:ilvl w:val="0"/>
        <w:numId w:val="0"/>
      </w:numPr>
    </w:pPr>
  </w:style>
  <w:style w:type="paragraph" w:customStyle="1" w:styleId="AppendixHeading4">
    <w:name w:val="Appendix Heading 4"/>
    <w:basedOn w:val="Header4"/>
    <w:uiPriority w:val="2"/>
    <w:qFormat/>
    <w:rsid w:val="003F253D"/>
    <w:pPr>
      <w:numPr>
        <w:ilvl w:val="3"/>
        <w:numId w:val="36"/>
      </w:numPr>
    </w:pPr>
  </w:style>
  <w:style w:type="paragraph" w:customStyle="1" w:styleId="Header5">
    <w:name w:val="Header 5"/>
    <w:basedOn w:val="Heading5"/>
    <w:next w:val="Normal"/>
    <w:uiPriority w:val="1"/>
    <w:qFormat/>
    <w:rsid w:val="003F253D"/>
    <w:pPr>
      <w:numPr>
        <w:ilvl w:val="0"/>
        <w:numId w:val="0"/>
      </w:numPr>
    </w:pPr>
  </w:style>
  <w:style w:type="paragraph" w:customStyle="1" w:styleId="AppendixHeading5">
    <w:name w:val="Appendix Heading 5"/>
    <w:basedOn w:val="Header5"/>
    <w:uiPriority w:val="2"/>
    <w:qFormat/>
    <w:rsid w:val="003F253D"/>
    <w:pPr>
      <w:numPr>
        <w:ilvl w:val="4"/>
        <w:numId w:val="36"/>
      </w:numPr>
    </w:pPr>
  </w:style>
  <w:style w:type="paragraph" w:customStyle="1" w:styleId="Header6">
    <w:name w:val="Header 6"/>
    <w:basedOn w:val="Heading6"/>
    <w:next w:val="Normal"/>
    <w:uiPriority w:val="1"/>
    <w:qFormat/>
    <w:rsid w:val="003F253D"/>
    <w:pPr>
      <w:numPr>
        <w:ilvl w:val="0"/>
        <w:numId w:val="0"/>
      </w:numPr>
    </w:pPr>
  </w:style>
  <w:style w:type="paragraph" w:customStyle="1" w:styleId="AppendixHeading6">
    <w:name w:val="Appendix Heading 6"/>
    <w:basedOn w:val="Header6"/>
    <w:uiPriority w:val="2"/>
    <w:qFormat/>
    <w:rsid w:val="003F253D"/>
    <w:pPr>
      <w:numPr>
        <w:ilvl w:val="5"/>
        <w:numId w:val="36"/>
      </w:numPr>
    </w:pPr>
  </w:style>
  <w:style w:type="paragraph" w:customStyle="1" w:styleId="AppendixPara1">
    <w:name w:val="Appendix Para 1"/>
    <w:basedOn w:val="Tabletext"/>
    <w:uiPriority w:val="2"/>
    <w:qFormat/>
    <w:rsid w:val="003F253D"/>
    <w:pPr>
      <w:numPr>
        <w:ilvl w:val="6"/>
        <w:numId w:val="36"/>
      </w:numPr>
      <w:spacing w:before="160" w:after="0" w:line="312" w:lineRule="auto"/>
      <w:contextualSpacing/>
    </w:pPr>
  </w:style>
  <w:style w:type="paragraph" w:customStyle="1" w:styleId="AppendixPara2">
    <w:name w:val="Appendix Para 2"/>
    <w:basedOn w:val="Tabletext"/>
    <w:uiPriority w:val="2"/>
    <w:qFormat/>
    <w:rsid w:val="003F253D"/>
    <w:pPr>
      <w:numPr>
        <w:ilvl w:val="7"/>
        <w:numId w:val="36"/>
      </w:numPr>
      <w:spacing w:before="160" w:after="0" w:line="312" w:lineRule="auto"/>
      <w:contextualSpacing/>
    </w:pPr>
  </w:style>
  <w:style w:type="paragraph" w:customStyle="1" w:styleId="AppendixPara3">
    <w:name w:val="Appendix Para 3"/>
    <w:basedOn w:val="Tabletext"/>
    <w:uiPriority w:val="2"/>
    <w:qFormat/>
    <w:rsid w:val="003F253D"/>
    <w:pPr>
      <w:numPr>
        <w:ilvl w:val="8"/>
        <w:numId w:val="36"/>
      </w:numPr>
      <w:spacing w:before="160" w:after="0" w:line="312" w:lineRule="auto"/>
      <w:contextualSpacing/>
    </w:pPr>
  </w:style>
  <w:style w:type="paragraph" w:customStyle="1" w:styleId="Coverdate">
    <w:name w:val="Cover date"/>
    <w:basedOn w:val="Normal"/>
    <w:uiPriority w:val="99"/>
    <w:rsid w:val="003F253D"/>
    <w:rPr>
      <w:b/>
      <w:bCs/>
      <w:color w:val="888C91" w:themeColor="accent6" w:themeShade="BF"/>
      <w:sz w:val="24"/>
      <w:szCs w:val="24"/>
    </w:rPr>
  </w:style>
  <w:style w:type="paragraph" w:styleId="Date">
    <w:name w:val="Date"/>
    <w:basedOn w:val="BodyText"/>
    <w:next w:val="Normal"/>
    <w:link w:val="DateChar"/>
    <w:uiPriority w:val="99"/>
    <w:semiHidden/>
    <w:rsid w:val="003F253D"/>
    <w:pPr>
      <w:spacing w:before="0" w:after="480"/>
    </w:pPr>
  </w:style>
  <w:style w:type="character" w:customStyle="1" w:styleId="DateChar">
    <w:name w:val="Date Char"/>
    <w:basedOn w:val="DefaultParagraphFont"/>
    <w:link w:val="Date"/>
    <w:uiPriority w:val="99"/>
    <w:semiHidden/>
    <w:rsid w:val="006C2166"/>
    <w:rPr>
      <w:color w:val="5B5D62" w:themeColor="accent6" w:themeShade="80"/>
      <w:sz w:val="20"/>
      <w:szCs w:val="18"/>
      <w:lang w:val="en-GB"/>
    </w:rPr>
  </w:style>
  <w:style w:type="paragraph" w:customStyle="1" w:styleId="Letterheadheader">
    <w:name w:val="Letterhead header"/>
    <w:basedOn w:val="Addressandname"/>
    <w:uiPriority w:val="99"/>
    <w:semiHidden/>
    <w:rsid w:val="003F253D"/>
    <w:pPr>
      <w:spacing w:after="0"/>
      <w:contextualSpacing w:val="0"/>
    </w:pPr>
  </w:style>
  <w:style w:type="paragraph" w:styleId="Signature">
    <w:name w:val="Signature"/>
    <w:basedOn w:val="BodyText"/>
    <w:link w:val="SignatureChar"/>
    <w:uiPriority w:val="99"/>
    <w:semiHidden/>
    <w:rsid w:val="003F253D"/>
    <w:pPr>
      <w:spacing w:before="1200" w:line="240" w:lineRule="auto"/>
      <w:contextualSpacing/>
    </w:pPr>
  </w:style>
  <w:style w:type="character" w:customStyle="1" w:styleId="SignatureChar">
    <w:name w:val="Signature Char"/>
    <w:basedOn w:val="DefaultParagraphFont"/>
    <w:link w:val="Signature"/>
    <w:uiPriority w:val="99"/>
    <w:semiHidden/>
    <w:rsid w:val="006C2166"/>
    <w:rPr>
      <w:color w:val="5B5D62" w:themeColor="accent6" w:themeShade="80"/>
      <w:sz w:val="20"/>
      <w:szCs w:val="18"/>
      <w:lang w:val="en-GB"/>
    </w:rPr>
  </w:style>
  <w:style w:type="paragraph" w:customStyle="1" w:styleId="Signoff">
    <w:name w:val="Sign off"/>
    <w:basedOn w:val="Signature"/>
    <w:uiPriority w:val="99"/>
    <w:semiHidden/>
    <w:rsid w:val="003F253D"/>
    <w:pPr>
      <w:spacing w:before="360"/>
    </w:pPr>
  </w:style>
  <w:style w:type="paragraph" w:customStyle="1" w:styleId="Subject">
    <w:name w:val="Subject"/>
    <w:basedOn w:val="BodyText"/>
    <w:uiPriority w:val="99"/>
    <w:semiHidden/>
    <w:rsid w:val="003F253D"/>
    <w:pPr>
      <w:spacing w:after="160"/>
    </w:pPr>
    <w:rPr>
      <w:color w:val="1ED2E6" w:themeColor="accent1"/>
      <w:szCs w:val="16"/>
    </w:rPr>
  </w:style>
  <w:style w:type="paragraph" w:customStyle="1" w:styleId="TableParagraph">
    <w:name w:val="Table Paragraph"/>
    <w:basedOn w:val="Normal"/>
    <w:uiPriority w:val="1"/>
    <w:qFormat/>
    <w:rsid w:val="00A472F1"/>
    <w:pPr>
      <w:widowControl w:val="0"/>
      <w:autoSpaceDE w:val="0"/>
      <w:autoSpaceDN w:val="0"/>
      <w:spacing w:before="42" w:line="240" w:lineRule="auto"/>
      <w:ind w:right="77"/>
      <w:jc w:val="right"/>
    </w:pPr>
    <w:rPr>
      <w:rFonts w:ascii="Arial" w:eastAsia="Arial" w:hAnsi="Arial" w:cs="Arial"/>
      <w:sz w:val="22"/>
      <w:szCs w:val="22"/>
      <w:lang w:val="en-US" w:bidi="en-US"/>
    </w:rPr>
  </w:style>
  <w:style w:type="paragraph" w:customStyle="1" w:styleId="SubBulletPoints">
    <w:name w:val="Sub Bullet Points"/>
    <w:basedOn w:val="Normal"/>
    <w:link w:val="SubBulletPointsChar"/>
    <w:qFormat/>
    <w:rsid w:val="001D5FBD"/>
    <w:pPr>
      <w:numPr>
        <w:ilvl w:val="2"/>
        <w:numId w:val="48"/>
      </w:numPr>
      <w:spacing w:before="60" w:line="276" w:lineRule="auto"/>
      <w:ind w:left="709" w:hanging="142"/>
    </w:pPr>
    <w:rPr>
      <w:rFonts w:eastAsiaTheme="minorEastAsia"/>
      <w:color w:val="5A5B5E" w:themeColor="text1"/>
      <w:szCs w:val="20"/>
      <w:lang w:val="en-AU"/>
    </w:rPr>
  </w:style>
  <w:style w:type="character" w:customStyle="1" w:styleId="SubBulletPointsChar">
    <w:name w:val="Sub Bullet Points Char"/>
    <w:basedOn w:val="DefaultParagraphFont"/>
    <w:link w:val="SubBulletPoints"/>
    <w:rsid w:val="001D5FBD"/>
    <w:rPr>
      <w:rFonts w:eastAsiaTheme="minorEastAsia"/>
      <w:color w:val="5A5B5E" w:themeColor="text1"/>
      <w:sz w:val="20"/>
      <w:szCs w:val="20"/>
    </w:rPr>
  </w:style>
  <w:style w:type="paragraph" w:styleId="Revision">
    <w:name w:val="Revision"/>
    <w:hidden/>
    <w:uiPriority w:val="99"/>
    <w:semiHidden/>
    <w:rsid w:val="000B605C"/>
    <w:pPr>
      <w:spacing w:after="0" w:line="240" w:lineRule="auto"/>
    </w:pPr>
    <w:rPr>
      <w:sz w:val="20"/>
      <w:szCs w:val="18"/>
      <w:lang w:val="en-GB"/>
    </w:rPr>
  </w:style>
  <w:style w:type="character" w:styleId="UnresolvedMention">
    <w:name w:val="Unresolved Mention"/>
    <w:basedOn w:val="DefaultParagraphFont"/>
    <w:uiPriority w:val="99"/>
    <w:semiHidden/>
    <w:unhideWhenUsed/>
    <w:rsid w:val="004E1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8732">
      <w:bodyDiv w:val="1"/>
      <w:marLeft w:val="0"/>
      <w:marRight w:val="0"/>
      <w:marTop w:val="0"/>
      <w:marBottom w:val="0"/>
      <w:divBdr>
        <w:top w:val="none" w:sz="0" w:space="0" w:color="auto"/>
        <w:left w:val="none" w:sz="0" w:space="0" w:color="auto"/>
        <w:bottom w:val="none" w:sz="0" w:space="0" w:color="auto"/>
        <w:right w:val="none" w:sz="0" w:space="0" w:color="auto"/>
      </w:divBdr>
    </w:div>
    <w:div w:id="553389720">
      <w:bodyDiv w:val="1"/>
      <w:marLeft w:val="0"/>
      <w:marRight w:val="0"/>
      <w:marTop w:val="0"/>
      <w:marBottom w:val="0"/>
      <w:divBdr>
        <w:top w:val="none" w:sz="0" w:space="0" w:color="auto"/>
        <w:left w:val="none" w:sz="0" w:space="0" w:color="auto"/>
        <w:bottom w:val="none" w:sz="0" w:space="0" w:color="auto"/>
        <w:right w:val="none" w:sz="0" w:space="0" w:color="auto"/>
      </w:divBdr>
    </w:div>
    <w:div w:id="645813932">
      <w:bodyDiv w:val="1"/>
      <w:marLeft w:val="0"/>
      <w:marRight w:val="0"/>
      <w:marTop w:val="0"/>
      <w:marBottom w:val="0"/>
      <w:divBdr>
        <w:top w:val="none" w:sz="0" w:space="0" w:color="auto"/>
        <w:left w:val="none" w:sz="0" w:space="0" w:color="auto"/>
        <w:bottom w:val="none" w:sz="0" w:space="0" w:color="auto"/>
        <w:right w:val="none" w:sz="0" w:space="0" w:color="auto"/>
      </w:divBdr>
    </w:div>
    <w:div w:id="673992821">
      <w:bodyDiv w:val="1"/>
      <w:marLeft w:val="0"/>
      <w:marRight w:val="0"/>
      <w:marTop w:val="0"/>
      <w:marBottom w:val="0"/>
      <w:divBdr>
        <w:top w:val="none" w:sz="0" w:space="0" w:color="auto"/>
        <w:left w:val="none" w:sz="0" w:space="0" w:color="auto"/>
        <w:bottom w:val="none" w:sz="0" w:space="0" w:color="auto"/>
        <w:right w:val="none" w:sz="0" w:space="0" w:color="auto"/>
      </w:divBdr>
    </w:div>
    <w:div w:id="1250234786">
      <w:bodyDiv w:val="1"/>
      <w:marLeft w:val="0"/>
      <w:marRight w:val="0"/>
      <w:marTop w:val="0"/>
      <w:marBottom w:val="0"/>
      <w:divBdr>
        <w:top w:val="none" w:sz="0" w:space="0" w:color="auto"/>
        <w:left w:val="none" w:sz="0" w:space="0" w:color="auto"/>
        <w:bottom w:val="none" w:sz="0" w:space="0" w:color="auto"/>
        <w:right w:val="none" w:sz="0" w:space="0" w:color="auto"/>
      </w:divBdr>
    </w:div>
    <w:div w:id="1765806404">
      <w:bodyDiv w:val="1"/>
      <w:marLeft w:val="0"/>
      <w:marRight w:val="0"/>
      <w:marTop w:val="0"/>
      <w:marBottom w:val="0"/>
      <w:divBdr>
        <w:top w:val="none" w:sz="0" w:space="0" w:color="auto"/>
        <w:left w:val="none" w:sz="0" w:space="0" w:color="auto"/>
        <w:bottom w:val="none" w:sz="0" w:space="0" w:color="auto"/>
        <w:right w:val="none" w:sz="0" w:space="0" w:color="auto"/>
      </w:divBdr>
    </w:div>
    <w:div w:id="19227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olai.Bull\AppData\Roaming\Microsoft\Templates\CA_document%20with%20block%20head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9562F5B2D545A9A9349728C0BA165F"/>
        <w:category>
          <w:name w:val="General"/>
          <w:gallery w:val="placeholder"/>
        </w:category>
        <w:types>
          <w:type w:val="bbPlcHdr"/>
        </w:types>
        <w:behaviors>
          <w:behavior w:val="content"/>
        </w:behaviors>
        <w:guid w:val="{3C9E8B42-7F00-4A68-9942-54DBF1978D1A}"/>
      </w:docPartPr>
      <w:docPartBody>
        <w:p w:rsidR="00A75EC8" w:rsidRDefault="001240F5">
          <w:pPr>
            <w:pStyle w:val="CC9562F5B2D545A9A9349728C0BA165F"/>
          </w:pPr>
          <w:r w:rsidRPr="00A041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0F5"/>
    <w:rsid w:val="00004916"/>
    <w:rsid w:val="001240F5"/>
    <w:rsid w:val="005661DE"/>
    <w:rsid w:val="00577FF4"/>
    <w:rsid w:val="00A75EC8"/>
    <w:rsid w:val="00B11C17"/>
    <w:rsid w:val="00B4537D"/>
    <w:rsid w:val="00CF6363"/>
    <w:rsid w:val="00D5122B"/>
    <w:rsid w:val="00DA1FAD"/>
    <w:rsid w:val="00DA341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C9562F5B2D545A9A9349728C0BA165F">
    <w:name w:val="CC9562F5B2D545A9A9349728C0BA16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A (primary colours)">
      <a:dk1>
        <a:srgbClr val="5A5B5E"/>
      </a:dk1>
      <a:lt1>
        <a:sysClr val="window" lastClr="FFFFFF"/>
      </a:lt1>
      <a:dk2>
        <a:srgbClr val="063246"/>
      </a:dk2>
      <a:lt2>
        <a:srgbClr val="5A5B5E"/>
      </a:lt2>
      <a:accent1>
        <a:srgbClr val="1ED2E6"/>
      </a:accent1>
      <a:accent2>
        <a:srgbClr val="28A0BF"/>
      </a:accent2>
      <a:accent3>
        <a:srgbClr val="025B7A"/>
      </a:accent3>
      <a:accent4>
        <a:srgbClr val="063246"/>
      </a:accent4>
      <a:accent5>
        <a:srgbClr val="92E9F5"/>
      </a:accent5>
      <a:accent6>
        <a:srgbClr val="BABCBF"/>
      </a:accent6>
      <a:hlink>
        <a:srgbClr val="1ED2E6"/>
      </a:hlink>
      <a:folHlink>
        <a:srgbClr val="28A0BF"/>
      </a:folHlink>
    </a:clrScheme>
    <a:fontScheme name="CA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1">
              <a:lumMod val="50000"/>
            </a:schemeClr>
          </a:solidFill>
          <a:prstDash val="sysDot"/>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sion_x0020_test xmlns="829623c0-46fb-43a5-bae2-543d7ba09c02" xsi:nil="true"/>
    <_Flow_SignoffStatus xmlns="829623c0-46fb-43a5-bae2-543d7ba09c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F428D8453BCA448CC2F35DB62A4E39" ma:contentTypeVersion="14" ma:contentTypeDescription="Create a new document." ma:contentTypeScope="" ma:versionID="315f3b31ab2642905711564fdeb50534">
  <xsd:schema xmlns:xsd="http://www.w3.org/2001/XMLSchema" xmlns:xs="http://www.w3.org/2001/XMLSchema" xmlns:p="http://schemas.microsoft.com/office/2006/metadata/properties" xmlns:ns2="829623c0-46fb-43a5-bae2-543d7ba09c02" xmlns:ns3="4481cb67-3781-40ef-adc9-f07a04a9ac7a" targetNamespace="http://schemas.microsoft.com/office/2006/metadata/properties" ma:root="true" ma:fieldsID="92082199c60e4133e202374974d9dbce" ns2:_="" ns3:_="">
    <xsd:import namespace="829623c0-46fb-43a5-bae2-543d7ba09c02"/>
    <xsd:import namespace="4481cb67-3781-40ef-adc9-f07a04a9ac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_Flow_SignoffStatus" minOccurs="0"/>
                <xsd:element ref="ns2:Version_x0020_test"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623c0-46fb-43a5-bae2-543d7ba09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Version_x0020_test" ma:index="13" nillable="true" ma:displayName="Version test" ma:format="Dropdown" ma:internalName="Version_x0020_test" ma:percentage="FALSE">
      <xsd:simpleType>
        <xsd:restriction base="dms:Number"/>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81cb67-3781-40ef-adc9-f07a04a9ac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A1552-D2CE-4209-A20D-1185E92D9450}">
  <ds:schemaRefs>
    <ds:schemaRef ds:uri="http://schemas.microsoft.com/office/2006/metadata/properties"/>
    <ds:schemaRef ds:uri="http://schemas.microsoft.com/office/infopath/2007/PartnerControls"/>
    <ds:schemaRef ds:uri="829623c0-46fb-43a5-bae2-543d7ba09c02"/>
  </ds:schemaRefs>
</ds:datastoreItem>
</file>

<file path=customXml/itemProps2.xml><?xml version="1.0" encoding="utf-8"?>
<ds:datastoreItem xmlns:ds="http://schemas.openxmlformats.org/officeDocument/2006/customXml" ds:itemID="{F83EC388-D461-4A1A-A1A9-B37EA39107F3}">
  <ds:schemaRefs>
    <ds:schemaRef ds:uri="http://schemas.microsoft.com/sharepoint/v3/contenttype/forms"/>
  </ds:schemaRefs>
</ds:datastoreItem>
</file>

<file path=customXml/itemProps3.xml><?xml version="1.0" encoding="utf-8"?>
<ds:datastoreItem xmlns:ds="http://schemas.openxmlformats.org/officeDocument/2006/customXml" ds:itemID="{56166171-A3EA-4862-93F5-167414CD7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623c0-46fb-43a5-bae2-543d7ba09c02"/>
    <ds:schemaRef ds:uri="4481cb67-3781-40ef-adc9-f07a04a9a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9F729D-E269-447F-B52F-4E21B4A6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CA_document with block header</Template>
  <TotalTime>1</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Monthly Market Update</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Market Update</dc:title>
  <dc:subject/>
  <dc:creator>Daniel.Stojanovski@cpal.com.au</dc:creator>
  <cp:keywords/>
  <dc:description/>
  <cp:lastModifiedBy>Shellie Fisher</cp:lastModifiedBy>
  <cp:revision>2</cp:revision>
  <dcterms:created xsi:type="dcterms:W3CDTF">2022-06-06T05:19:00Z</dcterms:created>
  <dcterms:modified xsi:type="dcterms:W3CDTF">2022-06-06T05:19:00Z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0x0101000BF428D8453BCA448CC2F35DB62A4E39</vt:lpwstr>
  </property>
</Properties>
</file>